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C" w:rsidRPr="00F41EFC" w:rsidRDefault="00F41EFC" w:rsidP="00F41EFC">
      <w:pPr>
        <w:suppressAutoHyphens/>
        <w:spacing w:after="0" w:line="240" w:lineRule="auto"/>
        <w:ind w:left="360"/>
        <w:jc w:val="both"/>
        <w:rPr>
          <w:rFonts w:ascii="Arial" w:eastAsia="Times New Roman" w:hAnsi="Arial" w:cs="Arial"/>
          <w:b/>
          <w:color w:val="0000FF"/>
          <w:sz w:val="16"/>
          <w:szCs w:val="16"/>
          <w:lang w:eastAsia="es-ES"/>
        </w:rPr>
      </w:pPr>
    </w:p>
    <w:p w:rsidR="00F41EFC" w:rsidRPr="00F41EFC" w:rsidRDefault="00F41EFC" w:rsidP="00F41EFC">
      <w:pPr>
        <w:suppressAutoHyphens/>
        <w:jc w:val="center"/>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CONVENIO DE SUBVENCIÓN para un:</w:t>
      </w:r>
    </w:p>
    <w:p w:rsidR="00F41EFC" w:rsidRPr="00F41EFC" w:rsidRDefault="00F41EFC" w:rsidP="00F41EFC">
      <w:pPr>
        <w:suppressAutoHyphens/>
        <w:jc w:val="center"/>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Proyecto con un único beneficiario en el marco del Programa ERASMUS+</w:t>
      </w:r>
      <w:r w:rsidRPr="00F41EFC">
        <w:rPr>
          <w:rFonts w:ascii="Times New Roman" w:eastAsia="Times New Roman" w:hAnsi="Times New Roman" w:cs="Times New Roman"/>
          <w:b/>
          <w:sz w:val="24"/>
          <w:vertAlign w:val="superscript"/>
          <w:lang w:eastAsia="es-ES"/>
        </w:rPr>
        <w:footnoteReference w:id="1"/>
      </w:r>
      <w:r w:rsidRPr="00F41EFC">
        <w:rPr>
          <w:rFonts w:ascii="Times New Roman" w:eastAsia="Times New Roman" w:hAnsi="Times New Roman" w:cs="Times New Roman"/>
          <w:b/>
          <w:sz w:val="24"/>
          <w:lang w:eastAsia="es-ES"/>
        </w:rPr>
        <w:t xml:space="preserve"> </w:t>
      </w:r>
    </w:p>
    <w:p w:rsidR="00F41EFC" w:rsidRPr="00F41EFC" w:rsidRDefault="008D4B36" w:rsidP="00F41EFC">
      <w:pPr>
        <w:suppressAutoHyphens/>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lang w:eastAsia="es-ES"/>
        </w:rPr>
        <w:t>NÚMERO DE CONVENIO – XXXX</w:t>
      </w:r>
    </w:p>
    <w:p w:rsidR="00F41EFC" w:rsidRPr="00F41EFC" w:rsidRDefault="00F41EFC" w:rsidP="00F41EFC">
      <w:pPr>
        <w:suppressAutoHyphens/>
        <w:spacing w:after="0"/>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Organismo Autónomo Programas Educativos Europeos (OAPEE), creado por Ley 42/2006, de 28 de diciembre, de Presupuestos Generales del Estado para el año 2007</w:t>
      </w:r>
    </w:p>
    <w:p w:rsidR="00F41EFC" w:rsidRPr="00F41EFC" w:rsidRDefault="00F41EFC" w:rsidP="008D4B36">
      <w:pPr>
        <w:suppressAutoHyphens/>
        <w:spacing w:after="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Calle Gustavo Fernández Balbuena, 13, ES-Madrid 28002,</w:t>
      </w:r>
    </w:p>
    <w:p w:rsidR="008D4B36" w:rsidRDefault="008D4B36" w:rsidP="00F41EFC">
      <w:pPr>
        <w:suppressAutoHyphens/>
        <w:jc w:val="both"/>
        <w:rPr>
          <w:rFonts w:ascii="Times New Roman" w:eastAsia="Times New Roman" w:hAnsi="Times New Roman" w:cs="Times New Roman"/>
          <w:sz w:val="24"/>
          <w:lang w:eastAsia="es-ES"/>
        </w:rPr>
      </w:pPr>
    </w:p>
    <w:p w:rsidR="00F41EFC" w:rsidRPr="00F41EFC" w:rsidRDefault="00F41EFC" w:rsidP="00F41EFC">
      <w:pPr>
        <w:suppressAutoHyphens/>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La </w:t>
      </w:r>
      <w:r w:rsidRPr="00F41EFC">
        <w:rPr>
          <w:rFonts w:ascii="Times New Roman" w:eastAsia="Times New Roman" w:hAnsi="Times New Roman" w:cs="Times New Roman"/>
          <w:b/>
          <w:sz w:val="24"/>
          <w:lang w:eastAsia="es-ES"/>
        </w:rPr>
        <w:t>Agencia Nacional</w:t>
      </w:r>
      <w:r w:rsidRPr="00F41EFC">
        <w:rPr>
          <w:rFonts w:ascii="Times New Roman" w:eastAsia="Times New Roman" w:hAnsi="Times New Roman" w:cs="Times New Roman"/>
          <w:sz w:val="24"/>
          <w:lang w:eastAsia="es-ES"/>
        </w:rPr>
        <w:t xml:space="preserve"> (en lo sucesivo denominada «la AN»), en cuyo nombre y representación actúa, a efectos de la firma del presente Convenio, D</w:t>
      </w:r>
      <w:r w:rsidR="008D4B36">
        <w:rPr>
          <w:rFonts w:ascii="Times New Roman" w:eastAsia="Times New Roman" w:hAnsi="Times New Roman" w:cs="Times New Roman"/>
          <w:sz w:val="24"/>
          <w:lang w:eastAsia="es-ES"/>
        </w:rPr>
        <w:t xml:space="preserve">. </w:t>
      </w:r>
      <w:r w:rsidR="00E164D7" w:rsidRPr="00F41EFC">
        <w:rPr>
          <w:rFonts w:ascii="Times New Roman" w:eastAsia="Times New Roman" w:hAnsi="Times New Roman" w:cs="Times New Roman"/>
          <w:sz w:val="24"/>
          <w:highlight w:val="lightGray"/>
          <w:lang w:eastAsia="es-ES"/>
        </w:rPr>
        <w:t>[/nombre/apellidos]</w:t>
      </w:r>
      <w:r w:rsidR="008D4B36">
        <w:rPr>
          <w:rFonts w:ascii="Times New Roman" w:eastAsia="Times New Roman" w:hAnsi="Times New Roman" w:cs="Times New Roman"/>
          <w:sz w:val="24"/>
          <w:lang w:eastAsia="es-ES"/>
        </w:rPr>
        <w:t>, Director</w:t>
      </w:r>
      <w:r w:rsidRPr="00F41EFC">
        <w:rPr>
          <w:rFonts w:ascii="Times New Roman" w:eastAsia="Times New Roman" w:hAnsi="Times New Roman" w:cs="Times New Roman"/>
          <w:sz w:val="24"/>
          <w:lang w:eastAsia="es-ES"/>
        </w:rPr>
        <w:t xml:space="preserve"> del OAPEE, </w:t>
      </w:r>
      <w:r w:rsidRPr="00F41EFC">
        <w:rPr>
          <w:rFonts w:ascii="Times New Roman" w:eastAsia="Times New Roman" w:hAnsi="Times New Roman" w:cs="Times New Roman"/>
          <w:lang w:eastAsia="es-ES"/>
        </w:rPr>
        <w:t xml:space="preserve"> </w:t>
      </w:r>
      <w:r w:rsidRPr="00F41EFC">
        <w:rPr>
          <w:rFonts w:ascii="Times New Roman" w:eastAsia="Times New Roman" w:hAnsi="Times New Roman" w:cs="Times New Roman"/>
          <w:sz w:val="24"/>
          <w:szCs w:val="24"/>
          <w:lang w:eastAsia="es-ES"/>
        </w:rPr>
        <w:t xml:space="preserve">actuando por delegación de la Comisión Europea, en lo sucesivo denominada </w:t>
      </w:r>
      <w:r w:rsidRPr="00F41EFC">
        <w:rPr>
          <w:rFonts w:ascii="Times New Roman" w:eastAsia="Calibri" w:hAnsi="Times New Roman" w:cs="Times New Roman"/>
          <w:sz w:val="24"/>
          <w:szCs w:val="24"/>
          <w:lang w:eastAsia="es-ES"/>
        </w:rPr>
        <w:t>«</w:t>
      </w:r>
      <w:r w:rsidRPr="00F41EFC">
        <w:rPr>
          <w:rFonts w:ascii="Times New Roman" w:eastAsia="Times New Roman" w:hAnsi="Times New Roman" w:cs="Times New Roman"/>
          <w:sz w:val="24"/>
          <w:szCs w:val="24"/>
          <w:lang w:eastAsia="es-ES"/>
        </w:rPr>
        <w:t>la Comisión</w:t>
      </w:r>
      <w:r w:rsidRPr="00F41EFC">
        <w:rPr>
          <w:rFonts w:ascii="Times New Roman" w:eastAsia="Calibri" w:hAnsi="Times New Roman" w:cs="Times New Roman"/>
          <w:sz w:val="24"/>
          <w:szCs w:val="24"/>
          <w:lang w:eastAsia="es-ES"/>
        </w:rPr>
        <w:t>»</w:t>
      </w:r>
    </w:p>
    <w:p w:rsidR="00F41EFC" w:rsidRPr="00F41EFC" w:rsidRDefault="00F41EFC" w:rsidP="00F41EFC">
      <w:pPr>
        <w:suppressAutoHyphens/>
        <w:rPr>
          <w:rFonts w:ascii="Times New Roman" w:eastAsia="Times New Roman" w:hAnsi="Times New Roman" w:cs="Times New Roman"/>
          <w:b/>
          <w:sz w:val="24"/>
          <w:szCs w:val="24"/>
          <w:lang w:eastAsia="es-ES"/>
        </w:rPr>
      </w:pPr>
      <w:proofErr w:type="gramStart"/>
      <w:r w:rsidRPr="00F41EFC">
        <w:rPr>
          <w:rFonts w:ascii="Times New Roman" w:eastAsia="Times New Roman" w:hAnsi="Times New Roman" w:cs="Times New Roman"/>
          <w:sz w:val="24"/>
          <w:lang w:eastAsia="es-ES"/>
        </w:rPr>
        <w:t>de</w:t>
      </w:r>
      <w:proofErr w:type="gramEnd"/>
      <w:r w:rsidRPr="00F41EFC">
        <w:rPr>
          <w:rFonts w:ascii="Times New Roman" w:eastAsia="Times New Roman" w:hAnsi="Times New Roman" w:cs="Times New Roman"/>
          <w:sz w:val="24"/>
          <w:lang w:eastAsia="es-ES"/>
        </w:rPr>
        <w:t xml:space="preserve"> una parte,</w:t>
      </w:r>
    </w:p>
    <w:p w:rsidR="00F41EFC" w:rsidRPr="00F41EFC" w:rsidRDefault="00F41EFC" w:rsidP="00F41EFC">
      <w:pPr>
        <w:suppressAutoHyphens/>
        <w:jc w:val="center"/>
        <w:rPr>
          <w:rFonts w:ascii="Times New Roman" w:eastAsia="Times New Roman" w:hAnsi="Times New Roman" w:cs="Times New Roman"/>
          <w:sz w:val="24"/>
          <w:szCs w:val="24"/>
          <w:lang w:eastAsia="es-ES"/>
        </w:rPr>
      </w:pPr>
    </w:p>
    <w:p w:rsidR="00F41EFC" w:rsidRPr="00F41EFC" w:rsidRDefault="00F41EFC" w:rsidP="00F41EFC">
      <w:pPr>
        <w:suppressAutoHyphens/>
        <w:rPr>
          <w:rFonts w:ascii="Times New Roman" w:eastAsia="Times New Roman" w:hAnsi="Times New Roman" w:cs="Times New Roman"/>
          <w:sz w:val="24"/>
          <w:szCs w:val="24"/>
          <w:shd w:val="clear" w:color="000000" w:fill="auto"/>
          <w:lang w:eastAsia="es-ES"/>
        </w:rPr>
      </w:pPr>
      <w:proofErr w:type="gramStart"/>
      <w:r w:rsidRPr="00F41EFC">
        <w:rPr>
          <w:rFonts w:ascii="Times New Roman" w:eastAsia="Times New Roman" w:hAnsi="Times New Roman" w:cs="Times New Roman"/>
          <w:b/>
          <w:sz w:val="24"/>
          <w:lang w:eastAsia="es-ES"/>
        </w:rPr>
        <w:t>y</w:t>
      </w:r>
      <w:proofErr w:type="gramEnd"/>
    </w:p>
    <w:p w:rsidR="00F41EFC" w:rsidRPr="00F41EFC" w:rsidRDefault="00F41EFC" w:rsidP="00F41EFC">
      <w:pPr>
        <w:suppressAutoHyphens/>
        <w:spacing w:after="0" w:line="240" w:lineRule="auto"/>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 xml:space="preserve">[nombre oficial completo del beneficiario] </w:t>
      </w:r>
    </w:p>
    <w:p w:rsidR="00F41EFC" w:rsidRPr="00F41EFC" w:rsidRDefault="00F41EFC" w:rsidP="00F41EFC">
      <w:pPr>
        <w:suppressAutoHyphens/>
        <w:spacing w:after="0" w:line="240" w:lineRule="auto"/>
        <w:rPr>
          <w:rFonts w:ascii="Times New Roman" w:eastAsia="Times New Roman" w:hAnsi="Times New Roman" w:cs="Times New Roman"/>
          <w:sz w:val="24"/>
          <w:szCs w:val="24"/>
          <w:highlight w:val="lightGray"/>
          <w:shd w:val="clear" w:color="auto" w:fill="C0C0C0"/>
          <w:lang w:eastAsia="es-ES"/>
        </w:rPr>
      </w:pPr>
      <w:r w:rsidRPr="00F41EFC">
        <w:rPr>
          <w:rFonts w:ascii="Times New Roman" w:eastAsia="Times New Roman" w:hAnsi="Times New Roman" w:cs="Times New Roman"/>
          <w:noProof/>
          <w:sz w:val="24"/>
          <w:szCs w:val="24"/>
          <w:highlight w:val="lightGray"/>
          <w:lang w:eastAsia="es-ES"/>
        </w:rPr>
        <w:t>[estatuto o forma jurídica oficial]</w:t>
      </w:r>
      <w:r w:rsidRPr="00F41EFC">
        <w:rPr>
          <w:rFonts w:ascii="Times New Roman" w:eastAsia="Times New Roman" w:hAnsi="Times New Roman" w:cs="Times New Roman"/>
          <w:sz w:val="24"/>
          <w:szCs w:val="24"/>
          <w:highlight w:val="lightGray"/>
          <w:shd w:val="clear" w:color="auto" w:fill="C0C0C0"/>
          <w:lang w:eastAsia="es-ES"/>
        </w:rPr>
        <w:t xml:space="preserve"> </w:t>
      </w:r>
      <w:r w:rsidRPr="00F41EFC">
        <w:rPr>
          <w:rFonts w:ascii="Times New Roman" w:eastAsia="Times New Roman" w:hAnsi="Times New Roman" w:cs="Times New Roman"/>
          <w:i/>
          <w:sz w:val="24"/>
          <w:szCs w:val="24"/>
          <w:highlight w:val="lightGray"/>
          <w:shd w:val="clear" w:color="auto" w:fill="C0C0C0"/>
          <w:lang w:eastAsia="es-ES"/>
        </w:rPr>
        <w:t>[</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after="0" w:line="240" w:lineRule="auto"/>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[datos registrales oficiales]</w:t>
      </w:r>
      <w:r w:rsidRPr="00F41EFC">
        <w:rPr>
          <w:rFonts w:ascii="Times New Roman" w:eastAsia="Times New Roman" w:hAnsi="Times New Roman" w:cs="Times New Roman"/>
          <w:i/>
          <w:sz w:val="24"/>
          <w:szCs w:val="24"/>
          <w:highlight w:val="lightGray"/>
          <w:shd w:val="clear" w:color="auto" w:fill="C0C0C0"/>
          <w:lang w:eastAsia="es-ES"/>
        </w:rPr>
        <w:t xml:space="preserve"> [</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after="0" w:line="240" w:lineRule="auto"/>
        <w:rPr>
          <w:rFonts w:ascii="Times New Roman" w:eastAsia="Times New Roman" w:hAnsi="Times New Roman" w:cs="Times New Roman"/>
          <w:sz w:val="24"/>
          <w:szCs w:val="24"/>
          <w:highlight w:val="lightGray"/>
          <w:shd w:val="clear" w:color="auto" w:fill="C0C0C0"/>
          <w:lang w:eastAsia="es-ES"/>
        </w:rPr>
      </w:pPr>
      <w:r w:rsidRPr="00F41EFC">
        <w:rPr>
          <w:rFonts w:ascii="Times New Roman" w:eastAsia="Times New Roman" w:hAnsi="Times New Roman" w:cs="Times New Roman"/>
          <w:noProof/>
          <w:sz w:val="24"/>
          <w:szCs w:val="24"/>
          <w:highlight w:val="lightGray"/>
          <w:lang w:eastAsia="es-ES"/>
        </w:rPr>
        <w:t>[dirección oficial completa]</w:t>
      </w:r>
      <w:r w:rsidRPr="00F41EFC">
        <w:rPr>
          <w:rFonts w:ascii="Times New Roman" w:eastAsia="Times New Roman" w:hAnsi="Times New Roman" w:cs="Times New Roman"/>
          <w:i/>
          <w:sz w:val="24"/>
          <w:szCs w:val="24"/>
          <w:highlight w:val="lightGray"/>
          <w:shd w:val="clear" w:color="auto" w:fill="C0C0C0"/>
          <w:lang w:eastAsia="es-ES"/>
        </w:rPr>
        <w:t xml:space="preserve"> [</w:t>
      </w:r>
      <w:proofErr w:type="gramStart"/>
      <w:r w:rsidRPr="00F41EFC">
        <w:rPr>
          <w:rFonts w:ascii="Times New Roman" w:eastAsia="Times New Roman" w:hAnsi="Times New Roman" w:cs="Times New Roman"/>
          <w:i/>
          <w:sz w:val="24"/>
          <w:szCs w:val="24"/>
          <w:highlight w:val="lightGray"/>
          <w:shd w:val="clear" w:color="auto" w:fill="C0C0C0"/>
          <w:lang w:eastAsia="es-ES"/>
        </w:rPr>
        <w:t>si</w:t>
      </w:r>
      <w:proofErr w:type="gramEnd"/>
      <w:r w:rsidRPr="00F41EFC">
        <w:rPr>
          <w:rFonts w:ascii="Times New Roman" w:eastAsia="Times New Roman" w:hAnsi="Times New Roman" w:cs="Times New Roman"/>
          <w:i/>
          <w:sz w:val="24"/>
          <w:szCs w:val="24"/>
          <w:highlight w:val="lightGray"/>
          <w:shd w:val="clear" w:color="auto" w:fill="C0C0C0"/>
          <w:lang w:eastAsia="es-ES"/>
        </w:rPr>
        <w:t xml:space="preserve"> procede]</w:t>
      </w:r>
    </w:p>
    <w:p w:rsidR="00F41EFC" w:rsidRPr="00F41EFC" w:rsidRDefault="00F41EFC" w:rsidP="00F41EFC">
      <w:pPr>
        <w:suppressAutoHyphens/>
        <w:spacing w:line="240" w:lineRule="auto"/>
        <w:jc w:val="both"/>
        <w:rPr>
          <w:rFonts w:ascii="Times New Roman" w:eastAsia="Times New Roman" w:hAnsi="Times New Roman" w:cs="Times New Roman"/>
          <w:noProof/>
          <w:sz w:val="24"/>
          <w:szCs w:val="24"/>
          <w:highlight w:val="lightGray"/>
          <w:lang w:eastAsia="es-ES"/>
        </w:rPr>
      </w:pPr>
      <w:r w:rsidRPr="00F41EFC">
        <w:rPr>
          <w:rFonts w:ascii="Times New Roman" w:eastAsia="Times New Roman" w:hAnsi="Times New Roman" w:cs="Times New Roman"/>
          <w:noProof/>
          <w:sz w:val="24"/>
          <w:szCs w:val="24"/>
          <w:highlight w:val="lightGray"/>
          <w:lang w:eastAsia="es-ES"/>
        </w:rPr>
        <w:t>[NIF / número de identificación a efectos del IVA],</w:t>
      </w:r>
      <w:r w:rsidRPr="00F41EFC">
        <w:rPr>
          <w:rFonts w:ascii="Times New Roman" w:eastAsia="Times New Roman" w:hAnsi="Times New Roman" w:cs="Times New Roman"/>
          <w:i/>
          <w:sz w:val="24"/>
          <w:szCs w:val="24"/>
          <w:highlight w:val="lightGray"/>
          <w:shd w:val="clear" w:color="auto" w:fill="C0C0C0"/>
          <w:lang w:eastAsia="es-ES"/>
        </w:rPr>
        <w:t xml:space="preserve"> [si procede]</w:t>
      </w:r>
    </w:p>
    <w:p w:rsidR="00F41EFC" w:rsidRPr="00F41EFC" w:rsidRDefault="00F41EFC" w:rsidP="00F41EFC">
      <w:pPr>
        <w:suppressAutoHyphens/>
        <w:rPr>
          <w:rFonts w:ascii="Times New Roman" w:eastAsia="Times New Roman" w:hAnsi="Times New Roman" w:cs="Times New Roman"/>
          <w:sz w:val="24"/>
          <w:szCs w:val="24"/>
          <w:shd w:val="clear" w:color="000000" w:fill="auto"/>
          <w:lang w:eastAsia="es-ES"/>
        </w:rPr>
      </w:pPr>
      <w:r w:rsidRPr="00F41EFC">
        <w:rPr>
          <w:rFonts w:ascii="Times New Roman" w:eastAsia="Times New Roman" w:hAnsi="Times New Roman" w:cs="Times New Roman"/>
          <w:sz w:val="24"/>
          <w:highlight w:val="lightGray"/>
          <w:lang w:eastAsia="es-ES"/>
        </w:rPr>
        <w:t xml:space="preserve"> [Número PIC],</w:t>
      </w:r>
    </w:p>
    <w:p w:rsidR="00F41EFC" w:rsidRPr="00F41EFC" w:rsidRDefault="00F41EFC" w:rsidP="00F41EFC">
      <w:pPr>
        <w:spacing w:after="0" w:line="240" w:lineRule="auto"/>
        <w:rPr>
          <w:rFonts w:ascii="Times New Roman" w:eastAsia="Times New Roman" w:hAnsi="Times New Roman" w:cs="Times New Roman"/>
          <w:snapToGrid w:val="0"/>
          <w:sz w:val="24"/>
          <w:szCs w:val="24"/>
          <w:lang w:eastAsia="es-ES"/>
        </w:rPr>
      </w:pPr>
      <w:r w:rsidRPr="00F41EFC">
        <w:rPr>
          <w:rFonts w:ascii="Times New Roman" w:eastAsia="Times New Roman" w:hAnsi="Times New Roman" w:cs="Times New Roman"/>
          <w:sz w:val="24"/>
          <w:lang w:eastAsia="es-ES"/>
        </w:rPr>
        <w:t xml:space="preserve">Acreditación para movilidad FP: </w:t>
      </w:r>
      <w:r w:rsidRPr="00F41EFC">
        <w:rPr>
          <w:rFonts w:ascii="Times New Roman" w:eastAsia="Times New Roman" w:hAnsi="Times New Roman" w:cs="Times New Roman"/>
          <w:sz w:val="24"/>
          <w:highlight w:val="lightGray"/>
          <w:lang w:eastAsia="es-ES"/>
        </w:rPr>
        <w:t>[Número de referencia de la acreditación]</w:t>
      </w:r>
      <w:r w:rsidRPr="00F41EFC">
        <w:rPr>
          <w:rFonts w:ascii="Calibri" w:eastAsia="Times New Roman" w:hAnsi="Calibri" w:cs="Times New Roman"/>
          <w:lang w:eastAsia="es-ES"/>
        </w:rPr>
        <w:br/>
      </w:r>
    </w:p>
    <w:p w:rsidR="00F41EFC" w:rsidRPr="00F41EFC" w:rsidRDefault="00F41EFC" w:rsidP="00F41EFC">
      <w:pPr>
        <w:suppressAutoHyphens/>
        <w:rPr>
          <w:rFonts w:ascii="Times New Roman" w:eastAsia="Times New Roman" w:hAnsi="Times New Roman" w:cs="Times New Roman"/>
          <w:sz w:val="24"/>
          <w:szCs w:val="24"/>
          <w:lang w:eastAsia="es-ES"/>
        </w:rPr>
      </w:pPr>
    </w:p>
    <w:p w:rsidR="00F41EFC" w:rsidRPr="00F41EFC" w:rsidRDefault="00F41EFC" w:rsidP="00F41EFC">
      <w:pPr>
        <w:suppressAutoHyphens/>
        <w:jc w:val="both"/>
        <w:rPr>
          <w:rFonts w:ascii="Times New Roman" w:eastAsia="Times New Roman" w:hAnsi="Times New Roman" w:cs="Times New Roman"/>
          <w:sz w:val="24"/>
          <w:szCs w:val="24"/>
          <w:lang w:eastAsia="es-ES"/>
        </w:rPr>
      </w:pPr>
      <w:proofErr w:type="gramStart"/>
      <w:r w:rsidRPr="00F41EFC">
        <w:rPr>
          <w:rFonts w:ascii="Times New Roman" w:eastAsia="Times New Roman" w:hAnsi="Times New Roman" w:cs="Times New Roman"/>
          <w:sz w:val="24"/>
          <w:lang w:eastAsia="es-ES"/>
        </w:rPr>
        <w:t>denominado</w:t>
      </w:r>
      <w:proofErr w:type="gramEnd"/>
      <w:r w:rsidRPr="00F41EFC">
        <w:rPr>
          <w:rFonts w:ascii="Times New Roman" w:eastAsia="Times New Roman" w:hAnsi="Times New Roman" w:cs="Times New Roman"/>
          <w:sz w:val="24"/>
          <w:lang w:eastAsia="es-ES"/>
        </w:rPr>
        <w:t xml:space="preserve"> en lo sucesivo </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el beneficiario</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 representado a efectos de la firma de este Convenio por [cargo, apellidos y nombre]</w:t>
      </w:r>
    </w:p>
    <w:p w:rsidR="00F41EFC" w:rsidRPr="00F41EFC" w:rsidRDefault="00F41EFC" w:rsidP="00F41EFC">
      <w:pPr>
        <w:suppressAutoHyphens/>
        <w:rPr>
          <w:rFonts w:ascii="Times New Roman" w:eastAsia="Times New Roman" w:hAnsi="Times New Roman" w:cs="Times New Roman"/>
          <w:sz w:val="24"/>
          <w:szCs w:val="24"/>
          <w:lang w:eastAsia="es-ES"/>
        </w:rPr>
      </w:pPr>
      <w:proofErr w:type="gramStart"/>
      <w:r w:rsidRPr="00F41EFC">
        <w:rPr>
          <w:rFonts w:ascii="Times New Roman" w:eastAsia="Times New Roman" w:hAnsi="Times New Roman" w:cs="Times New Roman"/>
          <w:sz w:val="24"/>
          <w:lang w:eastAsia="es-ES"/>
        </w:rPr>
        <w:t>de</w:t>
      </w:r>
      <w:proofErr w:type="gramEnd"/>
      <w:r w:rsidRPr="00F41EFC">
        <w:rPr>
          <w:rFonts w:ascii="Times New Roman" w:eastAsia="Times New Roman" w:hAnsi="Times New Roman" w:cs="Times New Roman"/>
          <w:sz w:val="24"/>
          <w:lang w:eastAsia="es-ES"/>
        </w:rPr>
        <w:t xml:space="preserve"> otra parte,</w:t>
      </w:r>
    </w:p>
    <w:p w:rsidR="00F41EFC" w:rsidRPr="00F41EFC" w:rsidRDefault="00F41EFC" w:rsidP="00F41EFC">
      <w:pPr>
        <w:tabs>
          <w:tab w:val="left" w:pos="1276"/>
        </w:tabs>
        <w:suppressAutoHyphens/>
        <w:jc w:val="center"/>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HAN CONVENIDO LO SIGUIENTE:</w:t>
      </w:r>
    </w:p>
    <w:p w:rsidR="00F41EFC" w:rsidRPr="00F41EFC" w:rsidRDefault="00F41EFC" w:rsidP="00F41EFC">
      <w:pPr>
        <w:tabs>
          <w:tab w:val="left" w:pos="1276"/>
        </w:tabs>
        <w:suppressAutoHyphens/>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lastRenderedPageBreak/>
        <w:t xml:space="preserve">Observar las Condiciones Particulares (en lo sucesivo denominadas «las Condiciones Particulares») Parte I, las Condiciones Generales (en lo sucesivo denominadas </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las Condiciones Generales</w:t>
      </w:r>
      <w:r w:rsidRPr="00F41EFC">
        <w:rPr>
          <w:rFonts w:ascii="Times New Roman" w:eastAsia="Calibri" w:hAnsi="Times New Roman" w:cs="Times New Roman"/>
          <w:sz w:val="24"/>
          <w:lang w:eastAsia="es-ES"/>
        </w:rPr>
        <w:t>»</w:t>
      </w:r>
      <w:r w:rsidRPr="00F41EFC">
        <w:rPr>
          <w:rFonts w:ascii="Times New Roman" w:eastAsia="Times New Roman" w:hAnsi="Times New Roman" w:cs="Times New Roman"/>
          <w:sz w:val="24"/>
          <w:lang w:eastAsia="es-ES"/>
        </w:rPr>
        <w:t>) Parte II y los</w:t>
      </w:r>
    </w:p>
    <w:p w:rsidR="00F41EFC" w:rsidRPr="00F41EFC" w:rsidRDefault="00F41EFC" w:rsidP="00F41EFC">
      <w:pPr>
        <w:suppressAutoHyphens/>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Anexos siguientes:</w:t>
      </w:r>
    </w:p>
    <w:p w:rsidR="00F41EFC" w:rsidRPr="00F41EFC" w:rsidRDefault="00F41EFC" w:rsidP="00F41EFC">
      <w:pPr>
        <w:suppressAutoHyphens/>
        <w:ind w:left="1276" w:hanging="1276"/>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Anexo I      </w:t>
      </w:r>
      <w:r w:rsidRPr="00F41EFC">
        <w:rPr>
          <w:rFonts w:ascii="Times New Roman" w:eastAsia="Times New Roman" w:hAnsi="Times New Roman" w:cs="Times New Roman"/>
          <w:i/>
          <w:sz w:val="24"/>
          <w:lang w:eastAsia="es-ES"/>
        </w:rPr>
        <w:tab/>
      </w:r>
      <w:r w:rsidRPr="00F41EFC">
        <w:rPr>
          <w:rFonts w:ascii="Times New Roman" w:eastAsia="Times New Roman" w:hAnsi="Times New Roman" w:cs="Times New Roman"/>
          <w:sz w:val="24"/>
          <w:lang w:eastAsia="es-ES"/>
        </w:rPr>
        <w:t xml:space="preserve">Descripción del Proyecto </w:t>
      </w:r>
    </w:p>
    <w:p w:rsidR="00F41EFC" w:rsidRPr="00F41EFC" w:rsidRDefault="00F41EFC" w:rsidP="00F41EFC">
      <w:pPr>
        <w:suppressAutoHyphens/>
        <w:ind w:left="1276" w:hanging="1276"/>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Anexo II     </w:t>
      </w:r>
      <w:r w:rsidRPr="00F41EFC">
        <w:rPr>
          <w:rFonts w:ascii="Times New Roman" w:eastAsia="Times New Roman" w:hAnsi="Times New Roman" w:cs="Times New Roman"/>
          <w:sz w:val="24"/>
          <w:lang w:eastAsia="es-ES"/>
        </w:rPr>
        <w:tab/>
        <w:t>Presupuesto estimativo</w:t>
      </w:r>
    </w:p>
    <w:p w:rsidR="00F41EFC" w:rsidRPr="00F41EFC" w:rsidRDefault="00F41EFC" w:rsidP="00F41EFC">
      <w:pPr>
        <w:suppressAutoHyphens/>
        <w:ind w:left="1276" w:hanging="1276"/>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Anexo III</w:t>
      </w:r>
      <w:r w:rsidRPr="00F41EFC">
        <w:rPr>
          <w:rFonts w:ascii="Times New Roman" w:eastAsia="Times New Roman" w:hAnsi="Times New Roman" w:cs="Times New Roman"/>
          <w:sz w:val="24"/>
          <w:lang w:eastAsia="es-ES"/>
        </w:rPr>
        <w:tab/>
        <w:t>Reglas financieras y contractuales</w:t>
      </w:r>
    </w:p>
    <w:p w:rsidR="00F41EFC" w:rsidRPr="00F41EFC" w:rsidRDefault="00F41EFC" w:rsidP="00F41EFC">
      <w:pPr>
        <w:suppressAutoHyphens/>
        <w:ind w:left="1276" w:hanging="1276"/>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Anexo IV </w:t>
      </w:r>
      <w:r w:rsidRPr="00F41EFC">
        <w:rPr>
          <w:rFonts w:ascii="Times New Roman" w:eastAsia="Times New Roman" w:hAnsi="Times New Roman" w:cs="Times New Roman"/>
          <w:sz w:val="24"/>
          <w:lang w:eastAsia="es-ES"/>
        </w:rPr>
        <w:tab/>
        <w:t>Modelos para documentos de convenios para uso entre beneficiario y participante</w:t>
      </w:r>
      <w:r w:rsidRPr="00F41EFC">
        <w:rPr>
          <w:rFonts w:ascii="Calibri" w:eastAsia="Times New Roman" w:hAnsi="Calibri" w:cs="Times New Roman"/>
          <w:lang w:eastAsia="es-ES"/>
        </w:rPr>
        <w:t xml:space="preserve"> </w:t>
      </w:r>
      <w:r w:rsidRPr="00F41EFC">
        <w:rPr>
          <w:rFonts w:ascii="Times New Roman" w:eastAsia="Times New Roman" w:hAnsi="Times New Roman" w:cs="Times New Roman"/>
          <w:i/>
          <w:sz w:val="24"/>
          <w:lang w:eastAsia="es-ES"/>
        </w:rPr>
        <w:t>[si procede]</w:t>
      </w:r>
    </w:p>
    <w:p w:rsidR="00F41EFC" w:rsidRPr="00F41EFC" w:rsidRDefault="00F41EFC" w:rsidP="00F41EFC">
      <w:pPr>
        <w:tabs>
          <w:tab w:val="left" w:pos="1276"/>
        </w:tabs>
        <w:suppressAutoHyphens/>
        <w:rPr>
          <w:rFonts w:ascii="Times New Roman" w:eastAsia="Times New Roman" w:hAnsi="Times New Roman" w:cs="Times New Roman"/>
          <w:sz w:val="24"/>
          <w:lang w:eastAsia="es-ES"/>
        </w:rPr>
      </w:pPr>
      <w:proofErr w:type="gramStart"/>
      <w:r w:rsidRPr="00F41EFC">
        <w:rPr>
          <w:rFonts w:ascii="Times New Roman" w:eastAsia="Times New Roman" w:hAnsi="Times New Roman" w:cs="Times New Roman"/>
          <w:sz w:val="24"/>
          <w:lang w:eastAsia="es-ES"/>
        </w:rPr>
        <w:t>que</w:t>
      </w:r>
      <w:proofErr w:type="gramEnd"/>
      <w:r w:rsidRPr="00F41EFC">
        <w:rPr>
          <w:rFonts w:ascii="Times New Roman" w:eastAsia="Times New Roman" w:hAnsi="Times New Roman" w:cs="Times New Roman"/>
          <w:sz w:val="24"/>
          <w:lang w:eastAsia="es-ES"/>
        </w:rPr>
        <w:t xml:space="preserve"> forman parte integrante del presente Convenio, en lo sucesivo denominado «el Convenio». </w:t>
      </w:r>
    </w:p>
    <w:p w:rsidR="00F41EFC" w:rsidRPr="00F41EFC" w:rsidRDefault="00F41EFC" w:rsidP="00F41EFC">
      <w:pPr>
        <w:tabs>
          <w:tab w:val="left" w:pos="1276"/>
        </w:tabs>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las Condiciones Particulares prevalecerá sobre lo dispuesto en las Condiciones Generales, publicadas en</w:t>
      </w:r>
      <w:r w:rsidRPr="00F41EFC">
        <w:rPr>
          <w:rFonts w:ascii="Calibri" w:eastAsia="Times New Roman" w:hAnsi="Calibri" w:cs="Times New Roman"/>
          <w:lang w:eastAsia="es-ES"/>
        </w:rPr>
        <w:t xml:space="preserve"> </w:t>
      </w:r>
      <w:hyperlink r:id="rId8" w:history="1">
        <w:r w:rsidRPr="00F41EFC">
          <w:rPr>
            <w:rFonts w:ascii="Times New Roman" w:eastAsia="Times New Roman" w:hAnsi="Times New Roman" w:cs="Times New Roman"/>
            <w:color w:val="0000FF"/>
            <w:sz w:val="24"/>
            <w:u w:val="single"/>
            <w:lang w:eastAsia="es-ES"/>
          </w:rPr>
          <w:t>http://www.oapee.es/oapee/inicio/ErasmusPlus/con-2014-gestion/convocatoria-2014-ka1-</w:t>
        </w:r>
        <w:r w:rsidR="00322D1B">
          <w:rPr>
            <w:rFonts w:ascii="Times New Roman" w:eastAsia="Times New Roman" w:hAnsi="Times New Roman" w:cs="Times New Roman"/>
            <w:color w:val="0000FF"/>
            <w:sz w:val="24"/>
            <w:u w:val="single"/>
            <w:lang w:eastAsia="es-ES"/>
          </w:rPr>
          <w:t>fp</w:t>
        </w:r>
        <w:r w:rsidRPr="00F41EFC">
          <w:rPr>
            <w:rFonts w:ascii="Times New Roman" w:eastAsia="Times New Roman" w:hAnsi="Times New Roman" w:cs="Times New Roman"/>
            <w:color w:val="0000FF"/>
            <w:sz w:val="24"/>
            <w:u w:val="single"/>
            <w:lang w:eastAsia="es-ES"/>
          </w:rPr>
          <w:t>/seguimientoka1</w:t>
        </w:r>
        <w:r w:rsidR="00322D1B">
          <w:rPr>
            <w:rFonts w:ascii="Times New Roman" w:eastAsia="Times New Roman" w:hAnsi="Times New Roman" w:cs="Times New Roman"/>
            <w:color w:val="0000FF"/>
            <w:sz w:val="24"/>
            <w:u w:val="single"/>
            <w:lang w:eastAsia="es-ES"/>
          </w:rPr>
          <w:t>fp</w:t>
        </w:r>
        <w:r w:rsidRPr="00F41EFC">
          <w:rPr>
            <w:rFonts w:ascii="Times New Roman" w:eastAsia="Times New Roman" w:hAnsi="Times New Roman" w:cs="Times New Roman"/>
            <w:color w:val="0000FF"/>
            <w:sz w:val="24"/>
            <w:u w:val="single"/>
            <w:lang w:eastAsia="es-ES"/>
          </w:rPr>
          <w:t>.html</w:t>
        </w:r>
      </w:hyperlink>
      <w:r w:rsidRPr="00F41EFC">
        <w:rPr>
          <w:rFonts w:ascii="Times New Roman" w:eastAsia="Times New Roman" w:hAnsi="Times New Roman" w:cs="Times New Roman"/>
          <w:sz w:val="24"/>
          <w:lang w:eastAsia="es-ES"/>
        </w:rPr>
        <w:t xml:space="preserve"> </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las Condiciones Particulares prevalecerá sobre lo dispuesto en los anexos.</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 dispuesto en el Anexo III  prevalecerá sobre lo dispuesto en los otros anexos. </w:t>
      </w: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 dispuesto en el Anexo II prevalecerá sobre lo dispuesto en el Anexo 1.</w:t>
      </w:r>
    </w:p>
    <w:p w:rsidR="00F41EFC" w:rsidRPr="00F41EFC" w:rsidRDefault="00F41EFC" w:rsidP="00F41EFC">
      <w:pPr>
        <w:suppressAutoHyphens/>
        <w:jc w:val="center"/>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br w:type="page"/>
      </w:r>
      <w:r w:rsidRPr="00F41EFC">
        <w:rPr>
          <w:rFonts w:ascii="Times New Roman" w:eastAsia="Times New Roman" w:hAnsi="Times New Roman" w:cs="Times New Roman"/>
          <w:b/>
          <w:sz w:val="24"/>
          <w:lang w:eastAsia="es-ES"/>
        </w:rPr>
        <w:lastRenderedPageBreak/>
        <w:t>PARTE I – CONDICIONES PARTICULARES</w:t>
      </w:r>
    </w:p>
    <w:p w:rsidR="00F41EFC" w:rsidRPr="00F41EFC" w:rsidRDefault="00F41EFC" w:rsidP="00F41EFC">
      <w:pPr>
        <w:suppressAutoHyphens/>
        <w:jc w:val="center"/>
        <w:rPr>
          <w:rFonts w:ascii="Times New Roman" w:eastAsia="Times New Roman" w:hAnsi="Times New Roman" w:cs="Times New Roman"/>
          <w:b/>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 – OBJETO DEL CONVENIO</w:t>
      </w:r>
    </w:p>
    <w:p w:rsidR="008826A5" w:rsidRDefault="00F41EFC" w:rsidP="00F41EFC">
      <w:pPr>
        <w:tabs>
          <w:tab w:val="left" w:pos="567"/>
        </w:tabs>
        <w:spacing w:after="0" w:line="240" w:lineRule="auto"/>
        <w:ind w:left="567" w:hanging="567"/>
        <w:jc w:val="both"/>
        <w:rPr>
          <w:rFonts w:ascii="Times New Roman" w:eastAsia="Times New Roman" w:hAnsi="Times New Roman" w:cs="Times New Roman"/>
          <w:noProof/>
          <w:sz w:val="24"/>
          <w:szCs w:val="20"/>
          <w:lang w:eastAsia="x-none"/>
        </w:rPr>
      </w:pPr>
      <w:r w:rsidRPr="00F41EFC">
        <w:rPr>
          <w:rFonts w:ascii="Times New Roman" w:eastAsia="Times New Roman" w:hAnsi="Times New Roman" w:cs="Times New Roman"/>
          <w:b/>
          <w:noProof/>
          <w:sz w:val="24"/>
          <w:szCs w:val="20"/>
          <w:lang w:eastAsia="x-none"/>
        </w:rPr>
        <w:t>I.1.1</w:t>
      </w:r>
      <w:r w:rsidRPr="00F41EFC">
        <w:rPr>
          <w:rFonts w:ascii="Times New Roman" w:eastAsia="Times New Roman" w:hAnsi="Times New Roman" w:cs="Times New Roman"/>
          <w:noProof/>
          <w:sz w:val="24"/>
          <w:szCs w:val="20"/>
          <w:lang w:eastAsia="x-none"/>
        </w:rPr>
        <w:tab/>
        <w:t>La AN ha decidido subvencionar, en los términos y condiciones establecidos en las Condiciones Particulares, las Condiciones Generales y los otros anexos del Convenio, el Proyecto denominado [la AN deberá insertar el nombre del Proy</w:t>
      </w:r>
      <w:r w:rsidR="008826A5">
        <w:rPr>
          <w:rFonts w:ascii="Times New Roman" w:eastAsia="Times New Roman" w:hAnsi="Times New Roman" w:cs="Times New Roman"/>
          <w:noProof/>
          <w:sz w:val="24"/>
          <w:szCs w:val="20"/>
          <w:lang w:eastAsia="x-none"/>
        </w:rPr>
        <w:t>ecto en negrita</w:t>
      </w:r>
      <w:r w:rsidRPr="00F41EFC">
        <w:rPr>
          <w:rFonts w:ascii="Times New Roman" w:eastAsia="Times New Roman" w:hAnsi="Times New Roman" w:cs="Times New Roman"/>
          <w:noProof/>
          <w:sz w:val="24"/>
          <w:szCs w:val="20"/>
          <w:lang w:eastAsia="x-none"/>
        </w:rPr>
        <w:t xml:space="preserve">] </w:t>
      </w:r>
    </w:p>
    <w:p w:rsidR="00F41EFC" w:rsidRPr="00F41EFC" w:rsidRDefault="008826A5" w:rsidP="00F41EFC">
      <w:pPr>
        <w:tabs>
          <w:tab w:val="left" w:pos="567"/>
        </w:tabs>
        <w:spacing w:after="0" w:line="240" w:lineRule="auto"/>
        <w:ind w:left="567" w:hanging="567"/>
        <w:jc w:val="both"/>
        <w:rPr>
          <w:rFonts w:ascii="Times New Roman" w:eastAsia="Times New Roman" w:hAnsi="Times New Roman" w:cs="Times New Roman"/>
          <w:sz w:val="24"/>
          <w:szCs w:val="20"/>
          <w:lang w:eastAsia="x-none"/>
        </w:rPr>
      </w:pPr>
      <w:r>
        <w:rPr>
          <w:rFonts w:ascii="Times New Roman" w:eastAsia="Times New Roman" w:hAnsi="Times New Roman" w:cs="Times New Roman"/>
          <w:b/>
          <w:noProof/>
          <w:sz w:val="24"/>
          <w:szCs w:val="20"/>
          <w:lang w:eastAsia="x-none"/>
        </w:rPr>
        <w:tab/>
      </w:r>
      <w:r w:rsidR="00F41EFC" w:rsidRPr="00F41EFC">
        <w:rPr>
          <w:rFonts w:ascii="Times New Roman" w:eastAsia="Times New Roman" w:hAnsi="Times New Roman" w:cs="Times New Roman"/>
          <w:noProof/>
          <w:sz w:val="24"/>
          <w:szCs w:val="20"/>
          <w:lang w:eastAsia="x-none"/>
        </w:rPr>
        <w:t>(denominado en lo sucesivo «el Proyecto»),</w:t>
      </w:r>
      <w:r w:rsidR="00F41EFC" w:rsidRPr="00F41EFC">
        <w:rPr>
          <w:rFonts w:ascii="Times New Roman" w:eastAsia="Times New Roman" w:hAnsi="Times New Roman" w:cs="Times New Roman"/>
          <w:i/>
          <w:sz w:val="24"/>
          <w:szCs w:val="20"/>
          <w:lang w:eastAsia="x-none"/>
        </w:rPr>
        <w:t xml:space="preserve"> </w:t>
      </w:r>
      <w:r w:rsidR="00F41EFC" w:rsidRPr="00F41EFC">
        <w:rPr>
          <w:rFonts w:ascii="Times New Roman" w:eastAsia="Times New Roman" w:hAnsi="Times New Roman" w:cs="Times New Roman"/>
          <w:sz w:val="24"/>
          <w:szCs w:val="20"/>
          <w:lang w:eastAsia="x-none"/>
        </w:rPr>
        <w:t>en</w:t>
      </w:r>
      <w:r>
        <w:rPr>
          <w:rFonts w:ascii="Times New Roman" w:eastAsia="Times New Roman" w:hAnsi="Times New Roman" w:cs="Times New Roman"/>
          <w:sz w:val="24"/>
          <w:szCs w:val="20"/>
          <w:lang w:eastAsia="x-none"/>
        </w:rPr>
        <w:t xml:space="preserve"> el marco del Programa Erasmus+</w:t>
      </w:r>
      <w:r w:rsidR="00F41EFC" w:rsidRPr="00F41EFC">
        <w:rPr>
          <w:rFonts w:ascii="Times New Roman" w:eastAsia="Times New Roman" w:hAnsi="Times New Roman" w:cs="Times New Roman"/>
          <w:sz w:val="24"/>
          <w:szCs w:val="20"/>
          <w:lang w:eastAsia="x-none"/>
        </w:rPr>
        <w:t>, [la AN deberá eliminar elementos de la lista, según sea necesario, en función de la acción en cuestión: Acción Clav</w:t>
      </w:r>
      <w:r w:rsidR="008D4B36">
        <w:rPr>
          <w:rFonts w:ascii="Times New Roman" w:eastAsia="Times New Roman" w:hAnsi="Times New Roman" w:cs="Times New Roman"/>
          <w:sz w:val="24"/>
          <w:szCs w:val="20"/>
          <w:lang w:eastAsia="x-none"/>
        </w:rPr>
        <w:t>e 1: Movilidad de las personas p</w:t>
      </w:r>
      <w:r w:rsidR="00F41EFC" w:rsidRPr="00F41EFC">
        <w:rPr>
          <w:rFonts w:ascii="Times New Roman" w:eastAsia="Times New Roman" w:hAnsi="Times New Roman" w:cs="Times New Roman"/>
          <w:sz w:val="24"/>
          <w:szCs w:val="20"/>
          <w:lang w:eastAsia="x-none"/>
        </w:rPr>
        <w:t>or motivos de aprendizaje/Acción Clave 2: Asociaciones estratégicas], tal como se describe en el Anexo I.</w:t>
      </w: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I.1.2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 xml:space="preserve">Con la firma del presente Convenio, el beneficiario acepta la subvención y se compromete a ejecutar el Proyecto bajo su propia responsabilidad.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val="x-none" w:eastAsia="x-none"/>
        </w:rPr>
      </w:pPr>
      <w:r w:rsidRPr="00F41EFC">
        <w:rPr>
          <w:rFonts w:ascii="Times New Roman" w:eastAsia="Times New Roman" w:hAnsi="Times New Roman" w:cs="Times New Roman"/>
          <w:b/>
          <w:noProof/>
          <w:sz w:val="24"/>
          <w:szCs w:val="20"/>
          <w:lang w:eastAsia="x-none"/>
        </w:rPr>
        <w:t>I.1.3</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val="x-none" w:eastAsia="x-none"/>
        </w:rPr>
        <w:tab/>
        <w:t xml:space="preserve">El beneficiario cumplirá </w:t>
      </w:r>
      <w:r w:rsidRPr="00F41EFC">
        <w:rPr>
          <w:rFonts w:ascii="Times New Roman" w:eastAsia="Times New Roman" w:hAnsi="Times New Roman" w:cs="Times New Roman"/>
          <w:sz w:val="24"/>
          <w:szCs w:val="20"/>
          <w:lang w:eastAsia="x-none"/>
        </w:rPr>
        <w:t xml:space="preserve">con </w:t>
      </w:r>
      <w:r w:rsidRPr="00F41EFC">
        <w:rPr>
          <w:rFonts w:ascii="Times New Roman" w:eastAsia="Times New Roman" w:hAnsi="Times New Roman" w:cs="Times New Roman"/>
          <w:sz w:val="24"/>
          <w:szCs w:val="20"/>
          <w:lang w:val="x-none" w:eastAsia="x-none"/>
        </w:rPr>
        <w:t xml:space="preserve">la Carta </w:t>
      </w:r>
      <w:r w:rsidRPr="00F41EFC">
        <w:rPr>
          <w:rFonts w:ascii="Times New Roman" w:eastAsia="Times New Roman" w:hAnsi="Times New Roman" w:cs="Times New Roman"/>
          <w:sz w:val="24"/>
          <w:szCs w:val="20"/>
          <w:lang w:eastAsia="x-none"/>
        </w:rPr>
        <w:t xml:space="preserve">de Movilidad de </w:t>
      </w:r>
      <w:r w:rsidRPr="00F41EFC">
        <w:rPr>
          <w:rFonts w:ascii="Times New Roman" w:eastAsia="Times New Roman" w:hAnsi="Times New Roman" w:cs="Times New Roman"/>
          <w:sz w:val="24"/>
          <w:szCs w:val="20"/>
          <w:lang w:val="x-none" w:eastAsia="x-none"/>
        </w:rPr>
        <w:t>FP</w:t>
      </w:r>
      <w:r w:rsidRPr="00F41EFC">
        <w:rPr>
          <w:rFonts w:ascii="Times New Roman" w:eastAsia="Times New Roman" w:hAnsi="Times New Roman" w:cs="Times New Roman"/>
          <w:sz w:val="24"/>
          <w:szCs w:val="20"/>
          <w:lang w:eastAsia="x-none"/>
        </w:rPr>
        <w:t xml:space="preserve">, </w:t>
      </w:r>
      <w:r w:rsidR="008826A5">
        <w:rPr>
          <w:rFonts w:ascii="Times New Roman" w:eastAsia="Times New Roman" w:hAnsi="Times New Roman" w:cs="Times New Roman"/>
          <w:sz w:val="24"/>
          <w:szCs w:val="20"/>
          <w:lang w:eastAsia="x-none"/>
        </w:rPr>
        <w:t xml:space="preserve">o Certificado de Calidad Leonardo prorrogado, </w:t>
      </w:r>
      <w:r w:rsidRPr="00F41EFC">
        <w:rPr>
          <w:rFonts w:ascii="Times New Roman" w:eastAsia="Times New Roman" w:hAnsi="Times New Roman" w:cs="Times New Roman"/>
          <w:sz w:val="24"/>
          <w:szCs w:val="20"/>
          <w:lang w:eastAsia="x-none"/>
        </w:rPr>
        <w:t>si procede.</w:t>
      </w:r>
      <w:r w:rsidRPr="00F41EFC">
        <w:rPr>
          <w:rFonts w:ascii="Times New Roman" w:eastAsia="Times New Roman" w:hAnsi="Times New Roman" w:cs="Times New Roman"/>
          <w:sz w:val="24"/>
          <w:szCs w:val="20"/>
          <w:u w:val="single"/>
          <w:lang w:val="x-none" w:eastAsia="x-none"/>
        </w:rPr>
        <w:t xml:space="preserve"> </w:t>
      </w: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snapToGrid w:val="0"/>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I.2 – ENTRADA EN VIGOR DEL CONVENIO Y DURACIÓN </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I.2.1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sz w:val="24"/>
          <w:szCs w:val="20"/>
          <w:lang w:eastAsia="x-none"/>
        </w:rPr>
        <w:t>El Convenio entrará en vigor en la fecha en que lo firme la Parte que lo haga en último lugar.</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4"/>
          <w:lang w:eastAsia="x-none"/>
        </w:rPr>
      </w:pPr>
      <w:r w:rsidRPr="00F41EFC">
        <w:rPr>
          <w:rFonts w:ascii="Times New Roman" w:eastAsia="Times New Roman" w:hAnsi="Times New Roman" w:cs="Times New Roman"/>
          <w:b/>
          <w:noProof/>
          <w:sz w:val="24"/>
          <w:szCs w:val="20"/>
          <w:lang w:eastAsia="x-none"/>
        </w:rPr>
        <w:t>I.2.2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El Proyecto tendrá lugar entre el [</w:t>
      </w:r>
      <w:r w:rsidRPr="00F41EFC">
        <w:rPr>
          <w:rFonts w:ascii="Times New Roman" w:eastAsia="Times New Roman" w:hAnsi="Times New Roman" w:cs="Times New Roman"/>
          <w:sz w:val="24"/>
          <w:szCs w:val="20"/>
          <w:highlight w:val="lightGray"/>
          <w:lang w:eastAsia="x-none"/>
        </w:rPr>
        <w:t>…</w:t>
      </w:r>
      <w:r w:rsidRPr="00F41EFC">
        <w:rPr>
          <w:rFonts w:ascii="Times New Roman" w:eastAsia="Times New Roman" w:hAnsi="Times New Roman" w:cs="Times New Roman"/>
          <w:sz w:val="24"/>
          <w:szCs w:val="20"/>
          <w:lang w:eastAsia="x-none"/>
        </w:rPr>
        <w:t>] y el [</w:t>
      </w:r>
      <w:r w:rsidRPr="00F41EFC">
        <w:rPr>
          <w:rFonts w:ascii="Times New Roman" w:eastAsia="Times New Roman" w:hAnsi="Times New Roman" w:cs="Times New Roman"/>
          <w:sz w:val="24"/>
          <w:szCs w:val="20"/>
          <w:highlight w:val="lightGray"/>
          <w:lang w:eastAsia="x-none"/>
        </w:rPr>
        <w:t>…</w:t>
      </w:r>
      <w:r w:rsidRPr="00F41EFC">
        <w:rPr>
          <w:rFonts w:ascii="Times New Roman" w:eastAsia="Times New Roman" w:hAnsi="Times New Roman" w:cs="Times New Roman"/>
          <w:sz w:val="24"/>
          <w:szCs w:val="20"/>
          <w:lang w:eastAsia="x-none"/>
        </w:rPr>
        <w:t>] ambos incluidos.</w:t>
      </w:r>
    </w:p>
    <w:p w:rsidR="00F41EFC" w:rsidRPr="00F41EFC" w:rsidRDefault="00F41EFC" w:rsidP="00F41EFC">
      <w:pPr>
        <w:suppressAutoHyphens/>
        <w:spacing w:after="0" w:line="240" w:lineRule="auto"/>
        <w:jc w:val="both"/>
        <w:rPr>
          <w:rFonts w:ascii="Times New Roman" w:eastAsia="Times New Roman" w:hAnsi="Times New Roman" w:cs="Times New Roman"/>
          <w:b/>
          <w:caps/>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
          <w:caps/>
          <w:sz w:val="24"/>
          <w:szCs w:val="24"/>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I.3 - IMPORTE MÁXIMO Y FORMA DE LA SUBVENCIÓN </w:t>
      </w: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I.3.1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Importe máximo de la subvención</w:t>
      </w:r>
    </w:p>
    <w:p w:rsidR="00F41EFC" w:rsidRPr="00F41EFC" w:rsidRDefault="00F41EFC" w:rsidP="00F41EFC">
      <w:pPr>
        <w:spacing w:after="0" w:line="240" w:lineRule="auto"/>
        <w:jc w:val="both"/>
        <w:rPr>
          <w:rFonts w:ascii="Times New Roman" w:eastAsia="Times New Roman" w:hAnsi="Times New Roman" w:cs="Times New Roman"/>
          <w:b/>
          <w:sz w:val="24"/>
          <w:szCs w:val="20"/>
          <w:lang w:eastAsia="x-none"/>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La subvención tendrá un </w:t>
      </w:r>
      <w:r w:rsidRPr="00F41EFC">
        <w:rPr>
          <w:rFonts w:ascii="Times New Roman" w:eastAsia="Times New Roman" w:hAnsi="Times New Roman" w:cs="Times New Roman"/>
          <w:b/>
          <w:sz w:val="24"/>
          <w:lang w:eastAsia="es-ES"/>
        </w:rPr>
        <w:t>importe máximo de</w:t>
      </w:r>
      <w:r w:rsidRPr="00F41EFC">
        <w:rPr>
          <w:rFonts w:ascii="Times New Roman" w:eastAsia="Times New Roman" w:hAnsi="Times New Roman" w:cs="Times New Roman"/>
          <w:sz w:val="24"/>
          <w:lang w:eastAsia="es-ES"/>
        </w:rPr>
        <w:t xml:space="preserve"> </w:t>
      </w:r>
      <w:r w:rsidRPr="00F41EFC">
        <w:rPr>
          <w:rFonts w:ascii="Times New Roman" w:eastAsia="Times New Roman" w:hAnsi="Times New Roman" w:cs="Times New Roman"/>
          <w:b/>
          <w:sz w:val="24"/>
          <w:lang w:eastAsia="es-ES"/>
        </w:rPr>
        <w:t>EUR</w:t>
      </w:r>
      <w:r w:rsidRPr="00F41EFC">
        <w:rPr>
          <w:rFonts w:ascii="Times New Roman" w:eastAsia="Times New Roman" w:hAnsi="Times New Roman" w:cs="Times New Roman"/>
          <w:sz w:val="24"/>
          <w:lang w:eastAsia="es-ES"/>
        </w:rPr>
        <w:t xml:space="preserve"> </w:t>
      </w:r>
      <w:r w:rsidRPr="00F41EFC">
        <w:rPr>
          <w:rFonts w:ascii="Times New Roman" w:eastAsia="Times New Roman" w:hAnsi="Times New Roman" w:cs="Times New Roman"/>
          <w:b/>
          <w:sz w:val="24"/>
          <w:highlight w:val="lightGray"/>
          <w:lang w:eastAsia="es-ES"/>
        </w:rPr>
        <w:t>[</w:t>
      </w:r>
      <w:r w:rsidRPr="00F41EFC">
        <w:rPr>
          <w:rFonts w:ascii="Times New Roman" w:eastAsia="Times New Roman" w:hAnsi="Times New Roman" w:cs="Times New Roman"/>
          <w:b/>
          <w:i/>
          <w:sz w:val="24"/>
          <w:highlight w:val="lightGray"/>
          <w:lang w:eastAsia="es-ES"/>
        </w:rPr>
        <w:t>…</w:t>
      </w:r>
      <w:r w:rsidRPr="00F41EFC">
        <w:rPr>
          <w:rFonts w:ascii="Times New Roman" w:eastAsia="Times New Roman" w:hAnsi="Times New Roman" w:cs="Times New Roman"/>
          <w:b/>
          <w:sz w:val="24"/>
          <w:highlight w:val="lightGray"/>
          <w:lang w:eastAsia="es-ES"/>
        </w:rPr>
        <w:t>]</w:t>
      </w:r>
      <w:r w:rsidRPr="00F41EFC">
        <w:rPr>
          <w:rFonts w:ascii="Times New Roman" w:eastAsia="Times New Roman" w:hAnsi="Times New Roman" w:cs="Times New Roman"/>
          <w:b/>
          <w:sz w:val="24"/>
          <w:lang w:eastAsia="es-ES"/>
        </w:rPr>
        <w:t xml:space="preserve"> EUR, </w:t>
      </w:r>
      <w:r w:rsidRPr="00F41EFC">
        <w:rPr>
          <w:rFonts w:ascii="Times New Roman" w:eastAsia="Times New Roman" w:hAnsi="Times New Roman" w:cs="Times New Roman"/>
          <w:sz w:val="24"/>
          <w:lang w:eastAsia="es-ES"/>
        </w:rPr>
        <w:t>y adoptará la forma de contribuciones por unidad y reembolso de costes subvencionable realmente incurridos, de acuerdo con las disposiciones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costes subvencionables tal como</w:t>
      </w:r>
      <w:r w:rsidR="008826A5">
        <w:rPr>
          <w:rFonts w:ascii="Times New Roman" w:eastAsia="Times New Roman" w:hAnsi="Times New Roman" w:cs="Times New Roman"/>
          <w:sz w:val="24"/>
          <w:lang w:eastAsia="es-ES"/>
        </w:rPr>
        <w:t xml:space="preserve"> se describe en el Artículo II.</w:t>
      </w:r>
      <w:r w:rsidRPr="00F41EFC">
        <w:rPr>
          <w:rFonts w:ascii="Times New Roman" w:eastAsia="Times New Roman" w:hAnsi="Times New Roman" w:cs="Times New Roman"/>
          <w:sz w:val="24"/>
          <w:lang w:eastAsia="es-ES"/>
        </w:rPr>
        <w:t>16;</w:t>
      </w: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presupuesto estimativo tal como se describe en el Anexo II;</w:t>
      </w:r>
    </w:p>
    <w:p w:rsidR="00F41EFC" w:rsidRPr="00F41EFC" w:rsidRDefault="00F41EFC" w:rsidP="00F41EFC">
      <w:pPr>
        <w:numPr>
          <w:ilvl w:val="0"/>
          <w:numId w:val="3"/>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normas financieras tal como se describe en el Anexo III.</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lastRenderedPageBreak/>
        <w:t>I.3.2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Transferencias presupuestarias</w:t>
      </w:r>
    </w:p>
    <w:p w:rsidR="00F41EFC" w:rsidRPr="00F41EFC" w:rsidRDefault="00F41EFC" w:rsidP="00F41EFC">
      <w:pPr>
        <w:suppressAutoHyphens/>
        <w:spacing w:after="0" w:line="240" w:lineRule="auto"/>
        <w:jc w:val="both"/>
        <w:outlineLvl w:val="0"/>
        <w:rPr>
          <w:rFonts w:ascii="Times New Roman" w:eastAsia="Times New Roman" w:hAnsi="Times New Roman" w:cs="Times New Roman"/>
          <w:b/>
          <w:bCs/>
          <w:sz w:val="24"/>
          <w:szCs w:val="24"/>
          <w:highlight w:val="yellow"/>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No obstante lo dispuesto en el Artículo II.10, y siempre que la acción se ejecute tal como se describe en el Anexo I, el beneficiario puede ajustar el presupuesto estimativo que figura en el Anexo II, mediante transferencias efectuadas entre las distintas categorías presupuestarias, sin que ese ajuste se considere una modificación del Convenio en el sentido del Artículo II.11, siempre que se respeten las reglas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100 % de los fondos asignados a apoyo a aspectos organizativos para asignarlos viajes y apoyo individual;</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fondos destinados a cualquier categoría presupuestaria y asignarlos a apoyo a necesidades especiales, incluso si no se hubieran asignado fondos inicialmente para apoyo a necesidades especiales tal como se describe en el Anexo II;</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50 % de los fondos asignados a apoyo lingüístico para asignarlos a viajes y</w:t>
      </w:r>
      <w:r w:rsidR="008826A5">
        <w:rPr>
          <w:rFonts w:ascii="Times New Roman" w:eastAsia="Times New Roman" w:hAnsi="Times New Roman" w:cs="Times New Roman"/>
          <w:sz w:val="24"/>
          <w:lang w:eastAsia="es-ES"/>
        </w:rPr>
        <w:t xml:space="preserve"> apoyo individual para estudiantes</w:t>
      </w:r>
      <w:r w:rsidRPr="00F41EFC">
        <w:rPr>
          <w:rFonts w:ascii="Times New Roman" w:eastAsia="Times New Roman" w:hAnsi="Times New Roman" w:cs="Times New Roman"/>
          <w:sz w:val="24"/>
          <w:lang w:eastAsia="es-ES"/>
        </w:rPr>
        <w:t>;</w:t>
      </w: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podrá transferir hasta un 100 % de los fondos asignados a viajes y apoyo individual para la movilidad del personal para asignarlos a viajes y apoyo individual para e</w:t>
      </w:r>
      <w:r w:rsidR="008826A5">
        <w:rPr>
          <w:rFonts w:ascii="Times New Roman" w:eastAsia="Times New Roman" w:hAnsi="Times New Roman" w:cs="Times New Roman"/>
          <w:sz w:val="24"/>
          <w:lang w:eastAsia="es-ES"/>
        </w:rPr>
        <w:t>studiantes</w:t>
      </w:r>
      <w:r w:rsidRPr="00F41EFC">
        <w:rPr>
          <w:rFonts w:ascii="Times New Roman" w:eastAsia="Times New Roman" w:hAnsi="Times New Roman" w:cs="Times New Roman"/>
          <w:sz w:val="24"/>
          <w:lang w:eastAsia="es-ES"/>
        </w:rPr>
        <w:t>;</w:t>
      </w:r>
    </w:p>
    <w:p w:rsidR="00F41EFC" w:rsidRPr="00F41EFC" w:rsidRDefault="00F41EFC" w:rsidP="00F41EFC">
      <w:pPr>
        <w:numPr>
          <w:ilvl w:val="0"/>
          <w:numId w:val="1"/>
        </w:numPr>
        <w:suppressAutoHyphens/>
        <w:spacing w:after="24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w:t>
      </w:r>
      <w:r w:rsidR="008826A5">
        <w:rPr>
          <w:rFonts w:ascii="Times New Roman" w:eastAsia="Times New Roman" w:hAnsi="Times New Roman" w:cs="Times New Roman"/>
          <w:sz w:val="24"/>
          <w:lang w:eastAsia="es-ES"/>
        </w:rPr>
        <w:t xml:space="preserve">o podrá transferir hasta un 100 </w:t>
      </w:r>
      <w:r w:rsidRPr="00F41EFC">
        <w:rPr>
          <w:rFonts w:ascii="Times New Roman" w:eastAsia="Times New Roman" w:hAnsi="Times New Roman" w:cs="Times New Roman"/>
          <w:sz w:val="24"/>
          <w:lang w:eastAsia="es-ES"/>
        </w:rPr>
        <w:t>% de los fondos asignados a viajes y apoyo individual para la movilidad de e</w:t>
      </w:r>
      <w:r w:rsidR="008826A5">
        <w:rPr>
          <w:rFonts w:ascii="Times New Roman" w:eastAsia="Times New Roman" w:hAnsi="Times New Roman" w:cs="Times New Roman"/>
          <w:sz w:val="24"/>
          <w:lang w:eastAsia="es-ES"/>
        </w:rPr>
        <w:t xml:space="preserve">studiantes en centros de Formación Profesional </w:t>
      </w:r>
      <w:r w:rsidRPr="00F41EFC">
        <w:rPr>
          <w:rFonts w:ascii="Times New Roman" w:eastAsia="Times New Roman" w:hAnsi="Times New Roman" w:cs="Times New Roman"/>
          <w:sz w:val="24"/>
          <w:lang w:eastAsia="es-ES"/>
        </w:rPr>
        <w:t>y asignarlos a viajes y apoyo individ</w:t>
      </w:r>
      <w:r w:rsidR="008826A5">
        <w:rPr>
          <w:rFonts w:ascii="Times New Roman" w:eastAsia="Times New Roman" w:hAnsi="Times New Roman" w:cs="Times New Roman"/>
          <w:sz w:val="24"/>
          <w:lang w:eastAsia="es-ES"/>
        </w:rPr>
        <w:t>ual para educandos en empresas.</w:t>
      </w:r>
    </w:p>
    <w:p w:rsidR="00F41EFC" w:rsidRPr="00F41EFC" w:rsidRDefault="00F41EFC" w:rsidP="008826A5">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 xml:space="preserve">ARTÍCULO I.4 - DISPOSICIONES SOBRE LA PRESENTACIÓN DE LA INFORMACIÓN Y LOS PAGOS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Se aplicarán las disposiciones sobre la presentación de la información y los pagos siguientes: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Primer pago de prefinanciación </w:t>
      </w:r>
    </w:p>
    <w:p w:rsidR="00F41EFC" w:rsidRPr="00F41EFC" w:rsidRDefault="00F41EFC" w:rsidP="00F41EFC">
      <w:pPr>
        <w:suppressAutoHyphens/>
        <w:spacing w:after="0" w:line="240" w:lineRule="auto"/>
        <w:jc w:val="both"/>
        <w:rPr>
          <w:rFonts w:ascii="Calibri" w:eastAsia="Times New Roman" w:hAnsi="Calibri" w:cs="Times New Roman"/>
          <w:b/>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La finalidad de la prefinanciación es proporcionar fondos de tesorería al beneficiario.</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La AN pagará al beneficiario en los 30 días siguientes a la entrada en vigor del Conven</w:t>
      </w:r>
      <w:r w:rsidR="008826A5">
        <w:rPr>
          <w:rFonts w:ascii="Times New Roman" w:eastAsia="Times New Roman" w:hAnsi="Times New Roman" w:cs="Times New Roman"/>
          <w:sz w:val="24"/>
          <w:lang w:eastAsia="es-ES"/>
        </w:rPr>
        <w:t xml:space="preserve">io </w:t>
      </w:r>
      <w:r w:rsidRPr="00F41EFC">
        <w:rPr>
          <w:rFonts w:ascii="Times New Roman" w:eastAsia="Times New Roman" w:hAnsi="Times New Roman" w:cs="Times New Roman"/>
          <w:sz w:val="24"/>
          <w:lang w:eastAsia="es-ES"/>
        </w:rPr>
        <w:t>un primer pago de prefinanciación de [</w:t>
      </w:r>
      <w:r w:rsidRPr="00F41EFC">
        <w:rPr>
          <w:rFonts w:ascii="Times New Roman" w:eastAsia="Times New Roman" w:hAnsi="Times New Roman" w:cs="Times New Roman"/>
          <w:sz w:val="24"/>
          <w:highlight w:val="lightGray"/>
          <w:lang w:eastAsia="es-ES"/>
        </w:rPr>
        <w:t>…</w:t>
      </w:r>
      <w:r w:rsidRPr="00F41EFC">
        <w:rPr>
          <w:rFonts w:ascii="Times New Roman" w:eastAsia="Times New Roman" w:hAnsi="Times New Roman" w:cs="Times New Roman"/>
          <w:sz w:val="24"/>
          <w:lang w:eastAsia="es-ES"/>
        </w:rPr>
        <w:t>] EUR, correspondiente al [80] % del importe máximo de la subvención especificado en el Artículo I.3.1.</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5423BB" w:rsidRDefault="005423BB"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5423BB" w:rsidRDefault="005423BB"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5423BB" w:rsidRDefault="005423BB"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5423BB" w:rsidRDefault="00F41EFC" w:rsidP="005423BB">
      <w:pPr>
        <w:spacing w:after="0" w:line="240" w:lineRule="auto"/>
        <w:ind w:left="567" w:hanging="567"/>
        <w:jc w:val="both"/>
        <w:rPr>
          <w:rFonts w:ascii="Times New Roman" w:eastAsia="Times New Roman" w:hAnsi="Times New Roman" w:cs="Times New Roman"/>
          <w:b/>
          <w:sz w:val="24"/>
          <w:szCs w:val="20"/>
          <w:shd w:val="clear" w:color="000000" w:fill="00FFFF"/>
          <w:lang w:eastAsia="x-none"/>
        </w:rPr>
      </w:pPr>
      <w:r w:rsidRPr="00F41EFC">
        <w:rPr>
          <w:rFonts w:ascii="Times New Roman" w:eastAsia="Times New Roman" w:hAnsi="Times New Roman" w:cs="Times New Roman"/>
          <w:b/>
          <w:noProof/>
          <w:sz w:val="24"/>
          <w:szCs w:val="20"/>
          <w:lang w:eastAsia="x-none"/>
        </w:rPr>
        <w:lastRenderedPageBreak/>
        <w:t>I.4.2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Informes intermedios y nuevos pagos de prefinanciación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shd w:val="clear" w:color="000000" w:fill="00FFFF"/>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No procede.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I.4.3</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Informe final y solicitud de pago del saldo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En los 60 días naturales siguientes a la fecha de finalización del Proyecto definida en el Artículo I.2.2, el beneficiario deberá completar un informe final sobre la ejecución del Proyecto en la Herramienta de Movilidad</w:t>
      </w:r>
      <w:r w:rsidR="00E164D7">
        <w:rPr>
          <w:rFonts w:ascii="Times New Roman" w:eastAsia="Times New Roman" w:hAnsi="Times New Roman" w:cs="Times New Roman"/>
          <w:sz w:val="24"/>
          <w:lang w:eastAsia="es-ES"/>
        </w:rPr>
        <w:t xml:space="preserve"> (</w:t>
      </w:r>
      <w:proofErr w:type="spellStart"/>
      <w:r w:rsidR="00E164D7" w:rsidRPr="00E164D7">
        <w:rPr>
          <w:rFonts w:ascii="Times New Roman" w:eastAsia="Times New Roman" w:hAnsi="Times New Roman" w:cs="Times New Roman"/>
          <w:i/>
          <w:sz w:val="24"/>
          <w:lang w:eastAsia="es-ES"/>
        </w:rPr>
        <w:t>Mobilty</w:t>
      </w:r>
      <w:proofErr w:type="spellEnd"/>
      <w:r w:rsidR="00E164D7" w:rsidRPr="00E164D7">
        <w:rPr>
          <w:rFonts w:ascii="Times New Roman" w:eastAsia="Times New Roman" w:hAnsi="Times New Roman" w:cs="Times New Roman"/>
          <w:i/>
          <w:sz w:val="24"/>
          <w:lang w:eastAsia="es-ES"/>
        </w:rPr>
        <w:t xml:space="preserve"> </w:t>
      </w:r>
      <w:proofErr w:type="spellStart"/>
      <w:r w:rsidR="00E164D7" w:rsidRPr="00E164D7">
        <w:rPr>
          <w:rFonts w:ascii="Times New Roman" w:eastAsia="Times New Roman" w:hAnsi="Times New Roman" w:cs="Times New Roman"/>
          <w:i/>
          <w:sz w:val="24"/>
          <w:lang w:eastAsia="es-ES"/>
        </w:rPr>
        <w:t>Tool</w:t>
      </w:r>
      <w:proofErr w:type="spellEnd"/>
      <w:r w:rsidR="00E164D7">
        <w:rPr>
          <w:rFonts w:ascii="Times New Roman" w:eastAsia="Times New Roman" w:hAnsi="Times New Roman" w:cs="Times New Roman"/>
          <w:sz w:val="24"/>
          <w:lang w:eastAsia="es-ES"/>
        </w:rPr>
        <w:t>)</w:t>
      </w:r>
      <w:r w:rsidRPr="00F41EFC">
        <w:rPr>
          <w:rFonts w:ascii="Times New Roman" w:eastAsia="Times New Roman" w:hAnsi="Times New Roman" w:cs="Times New Roman"/>
          <w:sz w:val="24"/>
          <w:lang w:eastAsia="es-ES"/>
        </w:rPr>
        <w:t>. Cuando la subvención adopte la forma de reembolso de contribuciones por unidad o costes subvencionables en los que se haya incurrido realmente de conformidad con el Artículo II.16 y con el Anexo III, este informe deberá contener la información necesaria para justificar el importe solicitado sobre la base de contribuciones por unidad.</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El informe final se considerará como la solicitud que hace el beneficiario del pago del saldo pendiente de la subvención.</w:t>
      </w:r>
    </w:p>
    <w:p w:rsidR="00F41EFC" w:rsidRPr="00F41EFC" w:rsidRDefault="00F41EFC" w:rsidP="00F41EFC">
      <w:pPr>
        <w:suppressAutoHyphens/>
        <w:spacing w:after="0" w:line="240" w:lineRule="auto"/>
        <w:jc w:val="both"/>
        <w:outlineLvl w:val="0"/>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color w:val="000000"/>
          <w:sz w:val="24"/>
          <w:szCs w:val="24"/>
          <w:lang w:eastAsia="es-ES"/>
        </w:rPr>
      </w:pPr>
      <w:r w:rsidRPr="00F41EFC">
        <w:rPr>
          <w:rFonts w:ascii="Times New Roman" w:eastAsia="Times New Roman" w:hAnsi="Times New Roman" w:cs="Times New Roman"/>
          <w:color w:val="000000"/>
          <w:sz w:val="24"/>
          <w:lang w:eastAsia="es-ES"/>
        </w:rPr>
        <w:t xml:space="preserve">El beneficiario deberá certificar que la información facilitada en su solicitud de pago está completa, es fidedigna y veraz. Deberá certificar asimismo que los costes en los que se ha incurrido pueden considerarse subvencionables con arreglo al Convenio y que la solicitud de pago está respaldada por los documentos justificativos oportunos que pueden presentarse en el marco de los controles o auditorías que se describen en el Artículo II.20.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I.4.4</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Pago del saldo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pago del saldo, que no podrá renovarse, se destinará a reembolsar o cubrir tras el final del periodo establecido en el Artículo I.2.2 la parte restante de los costes subvencionables en que incurra el beneficiario para su aplicación.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outlineLvl w:val="0"/>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No obstante lo dispuesto en los Artículos II.17.2 y II.17.3, tras la recepción de los documentos a que se hace referencia en el informe final, la AN abonará el importe adeudado como saldo en el plazo de</w:t>
      </w:r>
      <w:r w:rsidRPr="00F41EFC">
        <w:rPr>
          <w:rFonts w:ascii="Calibri" w:eastAsia="Times New Roman" w:hAnsi="Calibri" w:cs="Times New Roman"/>
          <w:lang w:eastAsia="es-ES"/>
        </w:rPr>
        <w:t xml:space="preserve"> </w:t>
      </w:r>
      <w:r w:rsidRPr="00F41EFC">
        <w:rPr>
          <w:rFonts w:ascii="Times New Roman" w:eastAsia="Times New Roman" w:hAnsi="Times New Roman" w:cs="Times New Roman"/>
          <w:sz w:val="24"/>
          <w:lang w:eastAsia="es-ES"/>
        </w:rPr>
        <w:t>60 días naturales.</w:t>
      </w: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Este importe se calculará a partir de la aprobación del informe final  y en virtud del párrafo cuarto. La aprobación del informe final no implicará el reconocimiento de la regularidad ni de la autenticidad, integridad y la corrección de las declaraciones y la información que contengan.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importe adeudado como saldo se determinará deduciendo del importe final de la subvención, determinada con arreglo a lo dispuesto en el Artículo II.18, el importe total de la prefinanciación ya abonada. Cuando el importe total de los pagos anteriores sea superior al importe final de la subvención determinado con arreglo al Artículo II.18, el pago del saldo puede adoptar la forma de un reintegro de acuerdo con lo dispuesto en el Artículo II.19.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lastRenderedPageBreak/>
        <w:t>I.4.5</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No presentación de documentos</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bCs/>
          <w:sz w:val="24"/>
          <w:szCs w:val="24"/>
          <w:lang w:eastAsia="es-ES"/>
        </w:rPr>
      </w:pPr>
      <w:r w:rsidRPr="00F41EFC">
        <w:rPr>
          <w:rFonts w:ascii="Times New Roman" w:eastAsia="Times New Roman" w:hAnsi="Times New Roman" w:cs="Times New Roman"/>
          <w:sz w:val="24"/>
          <w:lang w:eastAsia="es-ES"/>
        </w:rPr>
        <w:t xml:space="preserve">Cuando el beneficiario no haya presentado un informe intermedio o un informe final, la AN enviará un recordatorio oficial dentro de los 15 días naturales siguientes al plazo establecido. Si el beneficiario sigue sin presentar dicho informe en los 30 días naturales siguientes a ese recordatorio, la AN se reserva el derecho a resolver el Convenio conforme a lo dispuesto en el Artículo </w:t>
      </w:r>
      <w:proofErr w:type="gramStart"/>
      <w:r w:rsidRPr="00F41EFC">
        <w:rPr>
          <w:rFonts w:ascii="Times New Roman" w:eastAsia="Times New Roman" w:hAnsi="Times New Roman" w:cs="Times New Roman"/>
          <w:sz w:val="24"/>
          <w:lang w:eastAsia="es-ES"/>
        </w:rPr>
        <w:t>II.15.2.1(</w:t>
      </w:r>
      <w:proofErr w:type="gramEnd"/>
      <w:r w:rsidRPr="00F41EFC">
        <w:rPr>
          <w:rFonts w:ascii="Times New Roman" w:eastAsia="Times New Roman" w:hAnsi="Times New Roman" w:cs="Times New Roman"/>
          <w:sz w:val="24"/>
          <w:lang w:eastAsia="es-ES"/>
        </w:rPr>
        <w:t>b) y a solicitar el reembolso del importe total de los pagos de prefinanciación conforme a lo dispuesto en el Artículo II.19.</w:t>
      </w:r>
    </w:p>
    <w:p w:rsidR="00F41EFC" w:rsidRPr="00F41EFC" w:rsidRDefault="00F41EFC" w:rsidP="00F41EFC">
      <w:pPr>
        <w:suppressAutoHyphens/>
        <w:autoSpaceDE w:val="0"/>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I.4.6</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 xml:space="preserve">Lengua de las solicitudes de pago y los informes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El beneficiario deberá presentar todas las solicitudes de pago e informes en castellano.</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keepNext/>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I.5  –</w:t>
      </w:r>
      <w:r w:rsidRPr="00F41EFC">
        <w:rPr>
          <w:rFonts w:ascii="Times New Roman" w:eastAsia="Times New Roman" w:hAnsi="Times New Roman" w:cs="Times New Roman"/>
          <w:b/>
          <w:caps/>
          <w:sz w:val="24"/>
          <w:szCs w:val="20"/>
          <w:lang w:eastAsia="x-none"/>
        </w:rPr>
        <w:t xml:space="preserve"> cuenta bancaria para los pagos </w:t>
      </w:r>
    </w:p>
    <w:p w:rsidR="00F41EFC" w:rsidRPr="00F41EFC" w:rsidRDefault="00F41EFC" w:rsidP="00F41EFC">
      <w:pPr>
        <w:suppressAutoHyphens/>
        <w:spacing w:after="0" w:line="28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noProof/>
          <w:sz w:val="24"/>
          <w:szCs w:val="24"/>
          <w:lang w:eastAsia="es-ES"/>
        </w:rPr>
        <w:t>Todos los pagos se efectuarán en la cuenta bancaria del beneficiario que se indica a continuación:</w:t>
      </w:r>
    </w:p>
    <w:p w:rsidR="00F41EFC" w:rsidRPr="00F41EFC" w:rsidRDefault="00F41EFC" w:rsidP="00F41EFC">
      <w:pPr>
        <w:suppressAutoHyphens/>
        <w:spacing w:after="0"/>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szCs w:val="24"/>
          <w:lang w:eastAsia="es-ES"/>
        </w:rPr>
        <w:tab/>
      </w:r>
    </w:p>
    <w:p w:rsidR="00F41EFC" w:rsidRPr="00F41EFC" w:rsidRDefault="00F41EFC" w:rsidP="00F41EFC">
      <w:pPr>
        <w:suppressAutoHyphens/>
        <w:spacing w:after="0"/>
        <w:rPr>
          <w:rFonts w:ascii="Calibri" w:eastAsia="Times New Roman" w:hAnsi="Calibri" w:cs="Times New Roman"/>
          <w:lang w:eastAsia="es-ES"/>
        </w:rPr>
      </w:pPr>
      <w:r w:rsidRPr="00F41EFC">
        <w:rPr>
          <w:rFonts w:ascii="Times New Roman" w:eastAsia="Times New Roman" w:hAnsi="Times New Roman" w:cs="Times New Roman"/>
          <w:noProof/>
          <w:sz w:val="24"/>
          <w:szCs w:val="24"/>
          <w:lang w:eastAsia="es-ES"/>
        </w:rPr>
        <w:t>Nombre del banco:</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Dirección de la sucursal:</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Designación exacta del titular de la cuenta:</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Pr="00F41EFC">
        <w:rPr>
          <w:rFonts w:ascii="Times New Roman" w:eastAsia="Times New Roman" w:hAnsi="Times New Roman" w:cs="Times New Roman"/>
          <w:noProof/>
          <w:sz w:val="24"/>
          <w:szCs w:val="24"/>
          <w:lang w:eastAsia="es-ES"/>
        </w:rPr>
        <w:t>Número de cuenta completo (incluidos los códigos bancarios):</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szCs w:val="24"/>
          <w:lang w:eastAsia="es-ES"/>
        </w:rPr>
        <w:tab/>
      </w:r>
      <w:r w:rsidRPr="00F41EFC">
        <w:rPr>
          <w:rFonts w:ascii="Times New Roman" w:eastAsia="Times New Roman" w:hAnsi="Times New Roman" w:cs="Times New Roman"/>
          <w:sz w:val="24"/>
          <w:szCs w:val="24"/>
          <w:lang w:eastAsia="es-ES"/>
        </w:rPr>
        <w:br/>
      </w:r>
      <w:r w:rsidR="008826A5">
        <w:rPr>
          <w:rFonts w:ascii="Times New Roman" w:eastAsia="Times New Roman" w:hAnsi="Times New Roman" w:cs="Times New Roman"/>
          <w:noProof/>
          <w:sz w:val="24"/>
          <w:szCs w:val="24"/>
          <w:lang w:eastAsia="es-ES"/>
        </w:rPr>
        <w:t>IBAN:</w:t>
      </w:r>
      <w:r w:rsidRPr="00F41EFC">
        <w:rPr>
          <w:rFonts w:ascii="Times New Roman" w:eastAsia="Times New Roman" w:hAnsi="Times New Roman" w:cs="Times New Roman"/>
          <w:sz w:val="24"/>
          <w:szCs w:val="24"/>
          <w:lang w:eastAsia="es-ES"/>
        </w:rPr>
        <w:t xml:space="preserve"> </w:t>
      </w:r>
      <w:r w:rsidRPr="00F41EFC">
        <w:rPr>
          <w:rFonts w:ascii="Times New Roman" w:eastAsia="Times New Roman" w:hAnsi="Times New Roman" w:cs="Times New Roman"/>
          <w:sz w:val="24"/>
          <w:szCs w:val="24"/>
          <w:highlight w:val="lightGray"/>
          <w:lang w:eastAsia="es-ES"/>
        </w:rPr>
        <w:t>[…</w:t>
      </w:r>
      <w:r w:rsidRPr="00F41EFC">
        <w:rPr>
          <w:rFonts w:ascii="Times New Roman" w:eastAsia="Times New Roman" w:hAnsi="Times New Roman" w:cs="Times New Roman"/>
          <w:sz w:val="24"/>
          <w:highlight w:val="lightGray"/>
          <w:lang w:eastAsia="es-ES"/>
        </w:rPr>
        <w:t>]</w:t>
      </w:r>
    </w:p>
    <w:p w:rsidR="00F41EFC" w:rsidRPr="00F41EFC" w:rsidRDefault="00F41EFC" w:rsidP="00F41EFC">
      <w:pPr>
        <w:suppressAutoHyphens/>
        <w:spacing w:after="0"/>
        <w:rPr>
          <w:rFonts w:ascii="Calibri" w:eastAsia="Times New Roman" w:hAnsi="Calibri" w:cs="Times New Roman"/>
          <w:lang w:eastAsia="es-ES"/>
        </w:rPr>
      </w:pPr>
    </w:p>
    <w:p w:rsidR="00F41EFC" w:rsidRPr="00F41EFC" w:rsidRDefault="00F41EFC" w:rsidP="00F41EFC">
      <w:pPr>
        <w:suppressAutoHyphens/>
        <w:spacing w:after="0"/>
        <w:rPr>
          <w:rFonts w:ascii="Calibri" w:eastAsia="Times New Roman" w:hAnsi="Calibri" w:cs="Times New Roman"/>
          <w:lang w:eastAsia="es-ES"/>
        </w:rPr>
      </w:pPr>
    </w:p>
    <w:p w:rsidR="00F41EFC" w:rsidRPr="00F41EFC" w:rsidRDefault="00F41EFC" w:rsidP="00F41EFC">
      <w:pPr>
        <w:suppressAutoHyphens/>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I.6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RESPONSABLE DEL TRATAMIENTO DE LOS DATOS Y DATOS DE CONTACTO DE LAS PARTES</w:t>
      </w: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I.6.1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Responsable del tratamiento de los datos</w:t>
      </w:r>
    </w:p>
    <w:p w:rsidR="00F41EFC" w:rsidRPr="00E164D7" w:rsidRDefault="00F41EFC" w:rsidP="00E164D7">
      <w:pPr>
        <w:suppressAutoHyphens/>
        <w:spacing w:before="240" w:after="0" w:line="240" w:lineRule="auto"/>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La entidad que actuará como responsable del tratamiento de los datos de conformidad con el Artículo II.6 será la AN.</w:t>
      </w:r>
    </w:p>
    <w:p w:rsidR="00F41EFC" w:rsidRPr="00F41EFC" w:rsidRDefault="00F41EFC" w:rsidP="00F41EFC">
      <w:pPr>
        <w:spacing w:after="0" w:line="240" w:lineRule="auto"/>
        <w:ind w:left="567" w:hanging="567"/>
        <w:jc w:val="both"/>
        <w:rPr>
          <w:rFonts w:ascii="Times New Roman" w:eastAsia="Times New Roman" w:hAnsi="Times New Roman" w:cs="Times New Roman"/>
          <w:b/>
          <w:noProof/>
          <w:sz w:val="24"/>
          <w:szCs w:val="20"/>
          <w:lang w:eastAsia="x-none"/>
        </w:rPr>
      </w:pP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I.6.2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Datos de contacto de la AN</w:t>
      </w:r>
    </w:p>
    <w:p w:rsidR="00F41EFC" w:rsidRPr="00F41EFC" w:rsidRDefault="00F41EFC" w:rsidP="00F41EFC">
      <w:pPr>
        <w:suppressAutoHyphens/>
        <w:spacing w:after="0" w:line="240" w:lineRule="auto"/>
        <w:ind w:left="720" w:hanging="720"/>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i/>
          <w:sz w:val="24"/>
          <w:szCs w:val="24"/>
          <w:lang w:eastAsia="es-ES"/>
        </w:rPr>
      </w:pPr>
      <w:r w:rsidRPr="00F41EFC">
        <w:rPr>
          <w:rFonts w:ascii="Times New Roman" w:eastAsia="Times New Roman" w:hAnsi="Times New Roman" w:cs="Times New Roman"/>
          <w:sz w:val="24"/>
          <w:lang w:eastAsia="es-ES"/>
        </w:rPr>
        <w:t>Cualquier comunicación dirigida a la AN deberá enviarse a la siguiente dirección:</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Organismo Autónomo Programas Educativos Europeos</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Calle Gustavo Fernández Balbuena, 13, 28002 Madrid, España</w:t>
      </w:r>
    </w:p>
    <w:p w:rsidR="00F41EFC" w:rsidRPr="00F41EFC" w:rsidRDefault="00F41EFC" w:rsidP="00F41EFC">
      <w:pPr>
        <w:suppressAutoHyphens/>
        <w:spacing w:after="0" w:line="240" w:lineRule="auto"/>
        <w:ind w:left="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de correo</w:t>
      </w:r>
      <w:r w:rsidR="00E164D7">
        <w:rPr>
          <w:rFonts w:ascii="Times New Roman" w:eastAsia="Times New Roman" w:hAnsi="Times New Roman" w:cs="Times New Roman"/>
          <w:sz w:val="24"/>
          <w:lang w:eastAsia="es-ES"/>
        </w:rPr>
        <w:t xml:space="preserve"> electrónico: </w:t>
      </w:r>
      <w:r w:rsidR="008826A5">
        <w:rPr>
          <w:rFonts w:ascii="Times New Roman" w:eastAsia="Times New Roman" w:hAnsi="Times New Roman" w:cs="Times New Roman"/>
          <w:sz w:val="24"/>
          <w:lang w:eastAsia="es-ES"/>
        </w:rPr>
        <w:t>…</w:t>
      </w:r>
      <w:proofErr w:type="gramStart"/>
      <w:r w:rsidR="008826A5">
        <w:rPr>
          <w:rFonts w:ascii="Times New Roman" w:eastAsia="Times New Roman" w:hAnsi="Times New Roman" w:cs="Times New Roman"/>
          <w:sz w:val="24"/>
          <w:lang w:eastAsia="es-ES"/>
        </w:rPr>
        <w:t>.@</w:t>
      </w:r>
      <w:proofErr w:type="gramEnd"/>
      <w:r w:rsidR="008826A5">
        <w:rPr>
          <w:rFonts w:ascii="Times New Roman" w:eastAsia="Times New Roman" w:hAnsi="Times New Roman" w:cs="Times New Roman"/>
          <w:sz w:val="24"/>
          <w:lang w:eastAsia="es-ES"/>
        </w:rPr>
        <w:t>...</w:t>
      </w:r>
    </w:p>
    <w:p w:rsidR="00F41EFC" w:rsidRPr="00F41EFC" w:rsidRDefault="00F41EFC" w:rsidP="00E164D7">
      <w:pPr>
        <w:suppressAutoHyphens/>
        <w:spacing w:after="0" w:line="240" w:lineRule="auto"/>
        <w:rPr>
          <w:rFonts w:ascii="Times New Roman" w:eastAsia="Times New Roman" w:hAnsi="Times New Roman" w:cs="Times New Roman"/>
          <w:i/>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I.6.3</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Datos de contacto del beneficiario</w:t>
      </w:r>
    </w:p>
    <w:p w:rsidR="00F41EFC" w:rsidRPr="00F41EFC" w:rsidRDefault="00F41EFC" w:rsidP="00F41EFC">
      <w:pPr>
        <w:suppressAutoHyphens/>
        <w:spacing w:after="0" w:line="240" w:lineRule="auto"/>
        <w:ind w:left="720" w:hanging="720"/>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lastRenderedPageBreak/>
        <w:t>Cualquier comunicación dirigida por la AN al beneficiario deberá enviarse a la siguiente dirección:</w:t>
      </w:r>
    </w:p>
    <w:p w:rsidR="00F41EFC" w:rsidRPr="00F41EFC" w:rsidRDefault="00F41EFC" w:rsidP="00F41EFC">
      <w:pPr>
        <w:suppressAutoHyphens/>
        <w:spacing w:after="0" w:line="240" w:lineRule="auto"/>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[Nombre completo persona de </w:t>
      </w:r>
      <w:proofErr w:type="gramStart"/>
      <w:r w:rsidRPr="00F41EFC">
        <w:rPr>
          <w:rFonts w:ascii="Times New Roman" w:eastAsia="Times New Roman" w:hAnsi="Times New Roman" w:cs="Times New Roman"/>
          <w:sz w:val="24"/>
          <w:lang w:eastAsia="es-ES"/>
        </w:rPr>
        <w:t>contacto ]</w:t>
      </w:r>
      <w:proofErr w:type="gramEnd"/>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[Cargo persona de contacto]</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[Nombre de la entidad]</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oficial completa de la entidad]</w:t>
      </w:r>
    </w:p>
    <w:p w:rsidR="00F41EFC" w:rsidRPr="00F41EFC" w:rsidRDefault="00F41EFC" w:rsidP="00F41EFC">
      <w:pPr>
        <w:suppressAutoHyphens/>
        <w:spacing w:after="0" w:line="240" w:lineRule="auto"/>
        <w:ind w:firstLine="720"/>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Dirección de correo electrónico: [rellenar persona de contacto]</w:t>
      </w:r>
    </w:p>
    <w:p w:rsidR="00F41EFC" w:rsidRPr="00F41EFC" w:rsidRDefault="00F41EFC" w:rsidP="00F41EFC">
      <w:pPr>
        <w:suppressAutoHyphens/>
        <w:spacing w:after="0" w:line="240" w:lineRule="auto"/>
        <w:rPr>
          <w:rFonts w:ascii="Times New Roman" w:eastAsia="Times New Roman" w:hAnsi="Times New Roman" w:cs="Times New Roman"/>
          <w:i/>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napToGrid w:val="0"/>
          <w:sz w:val="24"/>
          <w:szCs w:val="20"/>
          <w:lang w:eastAsia="x-none"/>
        </w:rPr>
      </w:pPr>
      <w:r w:rsidRPr="00F41EFC">
        <w:rPr>
          <w:rFonts w:ascii="Times New Roman" w:eastAsia="Times New Roman" w:hAnsi="Times New Roman" w:cs="Times New Roman"/>
          <w:b/>
          <w:sz w:val="24"/>
          <w:szCs w:val="20"/>
          <w:lang w:eastAsia="x-none"/>
        </w:rPr>
        <w:t>ARTÍCULO I.7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PROTECCIÓN Y SEGURIDAD DE LOS PARTICIPANTES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El beneficiario tendrá implantados procedimientos y disposiciones de seguridad eficaces para la seguridad y la protección de los participantes en el Proyecto.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se asegurará de que los participantes en actividades de movilidad en el extranjero cuentan con una cobertura de seguro.</w:t>
      </w:r>
    </w:p>
    <w:p w:rsidR="00F41EFC" w:rsidRPr="00F41EFC" w:rsidRDefault="00F41EFC" w:rsidP="00F41EFC">
      <w:pPr>
        <w:suppressAutoHyphens/>
        <w:adjustRightInd w:val="0"/>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adjustRightInd w:val="0"/>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I.8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LEGISLACIÓN APLICABLE Y RESOLUCIÓN DE LITIGIOS.</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I.8.1</w:t>
      </w:r>
      <w:r w:rsidRPr="00F41EFC">
        <w:rPr>
          <w:rFonts w:ascii="Times New Roman" w:eastAsia="Times New Roman" w:hAnsi="Times New Roman" w:cs="Times New Roman"/>
          <w:noProof/>
          <w:sz w:val="24"/>
          <w:szCs w:val="20"/>
          <w:lang w:eastAsia="x-none"/>
        </w:rPr>
        <w:tab/>
        <w:t xml:space="preserve">El Convenio se regirá por el siguiente régimen jurídico y por el orden que se indica: Derecho Comunitario (Reglamento 1288/2013 del Parlamento Europeo y del Consejo de 11 de diciembre así como las normas de control interno y requisitos para la gestión de los fondos de la Unión destinados a la concesión de ayudas, establecidos por la Comisión Europea a través su relación contractual con la Agencia Nacional); Ley 38/2006, de 17 de noviembre, General de Subvenciones y su reglamento, aprobado por Real Decreto 887/2006, de 21 de julio en lo que resulten de aplicación, y con carácter supletorio al Derecho Comunitario; Real Decreto 231/2013, de 5 de abril y el derecho administrativo común, como supletorio a todos los anteriores, en particular su norma procedimental, Ley 30/1992, de 26 de noviembre.  </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sz w:val="24"/>
          <w:szCs w:val="20"/>
          <w:lang w:eastAsia="x-none"/>
        </w:rPr>
        <w:t xml:space="preserve"> </w:t>
      </w:r>
    </w:p>
    <w:p w:rsidR="00F41EFC" w:rsidRPr="00F41EFC" w:rsidRDefault="00F41EFC" w:rsidP="00F41EFC">
      <w:pPr>
        <w:spacing w:after="0" w:line="240" w:lineRule="auto"/>
        <w:ind w:left="567" w:hanging="567"/>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b/>
          <w:noProof/>
          <w:sz w:val="24"/>
          <w:szCs w:val="20"/>
          <w:lang w:eastAsia="x-none"/>
        </w:rPr>
        <w:t>I.8.2</w:t>
      </w:r>
      <w:r w:rsidRPr="00F41EFC">
        <w:rPr>
          <w:rFonts w:ascii="Times New Roman" w:eastAsia="Times New Roman" w:hAnsi="Times New Roman" w:cs="Times New Roman"/>
          <w:noProof/>
          <w:sz w:val="24"/>
          <w:szCs w:val="20"/>
          <w:lang w:eastAsia="x-none"/>
        </w:rPr>
        <w:tab/>
      </w:r>
      <w:r w:rsidRPr="00F41EFC">
        <w:rPr>
          <w:rFonts w:ascii="Times New Roman" w:eastAsia="Times New Roman" w:hAnsi="Times New Roman" w:cs="Times New Roman"/>
          <w:sz w:val="24"/>
          <w:szCs w:val="20"/>
          <w:lang w:eastAsia="x-none"/>
        </w:rPr>
        <w:t>El tribunal competente que determine la legislación nacional aplicable tendrá jurisdicción exclusiva para conocer cualquier controversia entre la AN y el beneficiario en relación con la interpretación, la aplicación o la validez del presente Convenio, si dicha controversia no se puede resolver de forma amistosa.</w:t>
      </w:r>
    </w:p>
    <w:p w:rsidR="00F41EFC" w:rsidRPr="00F41EFC" w:rsidRDefault="00F41EFC" w:rsidP="00F41EFC">
      <w:pPr>
        <w:spacing w:after="0" w:line="240" w:lineRule="auto"/>
        <w:ind w:left="567"/>
        <w:jc w:val="both"/>
        <w:rPr>
          <w:rFonts w:ascii="Times New Roman" w:eastAsia="Times New Roman" w:hAnsi="Times New Roman" w:cs="Times New Roman"/>
          <w:sz w:val="24"/>
          <w:szCs w:val="20"/>
          <w:lang w:eastAsia="x-none"/>
        </w:rPr>
      </w:pPr>
    </w:p>
    <w:p w:rsidR="00F41EFC" w:rsidRPr="00F41EFC" w:rsidRDefault="00F41EFC" w:rsidP="00F41EFC">
      <w:pPr>
        <w:suppressAutoHyphens/>
        <w:spacing w:after="0"/>
        <w:jc w:val="both"/>
        <w:rPr>
          <w:rFonts w:ascii="Times New Roman" w:eastAsia="Times New Roman" w:hAnsi="Times New Roman" w:cs="Times New Roman"/>
          <w:sz w:val="24"/>
          <w:szCs w:val="20"/>
          <w:lang w:eastAsia="x-none"/>
        </w:rPr>
      </w:pPr>
      <w:r w:rsidRPr="00F41EFC">
        <w:rPr>
          <w:rFonts w:ascii="Times New Roman" w:eastAsia="Times New Roman" w:hAnsi="Times New Roman" w:cs="Times New Roman"/>
          <w:sz w:val="24"/>
          <w:szCs w:val="20"/>
          <w:lang w:eastAsia="x-none"/>
        </w:rPr>
        <w:t>Se podrán interponer los recursos contra los actos de la AN en los plazos establecidos ante los órganos correspondientes, de conformidad con la Ley 30/1992, de 26 de noviembre, de Régimen Jurídico de las Administraciones Públicas y del Procedimiento Administrativo Común.</w:t>
      </w:r>
    </w:p>
    <w:p w:rsidR="00F41EFC" w:rsidRPr="00F41EFC" w:rsidRDefault="00F41EFC" w:rsidP="00F41EFC">
      <w:pPr>
        <w:suppressAutoHyphens/>
        <w:spacing w:after="0"/>
        <w:jc w:val="both"/>
        <w:rPr>
          <w:rFonts w:ascii="Times New Roman" w:eastAsia="Times New Roman" w:hAnsi="Times New Roman" w:cs="Times New Roman"/>
          <w:i/>
          <w:snapToGrid w:val="0"/>
          <w:sz w:val="24"/>
          <w:szCs w:val="24"/>
          <w:lang w:eastAsia="es-ES"/>
        </w:rPr>
      </w:pPr>
    </w:p>
    <w:p w:rsidR="00F41EFC" w:rsidRPr="00F41EFC" w:rsidRDefault="00F41EFC" w:rsidP="00F41EFC">
      <w:pPr>
        <w:suppressAutoHyphens/>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lastRenderedPageBreak/>
        <w:t>ARTÍCULO I.9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DISPOSICIONES ADICIONALES SOBRE LA UTILIZACIÓN DE LOS RESULTADOS (INCLUIDOS LOS DERECHOS DE PROPIEDAD INTELECTUAL E INDUSTRIAL)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Además de lo dispuesto en el Artículo II.8.3., si el beneficiario produce materiales educativos dentro del alcance del Proyecto, se deberá facilitar el acceso a dichos materiales a través de Internet, sin cargo alguno y en régimen de licencia abierta</w:t>
      </w:r>
      <w:r w:rsidRPr="00F41EFC">
        <w:rPr>
          <w:rFonts w:ascii="Times New Roman" w:eastAsia="Times New Roman" w:hAnsi="Times New Roman" w:cs="Times New Roman"/>
          <w:sz w:val="24"/>
          <w:vertAlign w:val="superscript"/>
          <w:lang w:eastAsia="es-ES"/>
        </w:rPr>
        <w:footnoteReference w:id="2"/>
      </w:r>
      <w:r w:rsidRPr="00F41EFC">
        <w:rPr>
          <w:rFonts w:ascii="Times New Roman" w:eastAsia="Times New Roman" w:hAnsi="Times New Roman" w:cs="Times New Roman"/>
          <w:sz w:val="24"/>
          <w:lang w:eastAsia="es-ES"/>
        </w:rPr>
        <w:t>.</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keepNext/>
        <w:suppressAutoHyphens/>
        <w:ind w:left="357" w:hanging="35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I.10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UTILIZACIÓN DE HERRAMIENTAS INFORMÁTICAS </w:t>
      </w:r>
    </w:p>
    <w:p w:rsidR="00F41EFC" w:rsidRPr="00F41EFC" w:rsidRDefault="00F41EFC" w:rsidP="00F41EFC">
      <w:pPr>
        <w:keepNext/>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I.10.1</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Herramienta de Movilidad</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El beneficiario deberá utilizar la Herramienta de Movilidad basada en la web para consignar toda la información en relación con las activ</w:t>
      </w:r>
      <w:r w:rsidR="00E164D7">
        <w:rPr>
          <w:rFonts w:ascii="Times New Roman" w:eastAsia="Times New Roman" w:hAnsi="Times New Roman" w:cs="Times New Roman"/>
          <w:sz w:val="24"/>
          <w:lang w:eastAsia="es-ES"/>
        </w:rPr>
        <w:t xml:space="preserve">idades de movilidad </w:t>
      </w:r>
      <w:proofErr w:type="gramStart"/>
      <w:r w:rsidR="00E164D7">
        <w:rPr>
          <w:rFonts w:ascii="Times New Roman" w:eastAsia="Times New Roman" w:hAnsi="Times New Roman" w:cs="Times New Roman"/>
          <w:sz w:val="24"/>
          <w:lang w:eastAsia="es-ES"/>
        </w:rPr>
        <w:t xml:space="preserve">realizadas, </w:t>
      </w:r>
      <w:r w:rsidRPr="00F41EFC">
        <w:rPr>
          <w:rFonts w:ascii="Times New Roman" w:eastAsia="Times New Roman" w:hAnsi="Times New Roman" w:cs="Times New Roman"/>
          <w:sz w:val="24"/>
          <w:lang w:eastAsia="es-ES"/>
        </w:rPr>
        <w:t>incluidas</w:t>
      </w:r>
      <w:proofErr w:type="gramEnd"/>
      <w:r w:rsidRPr="00F41EFC">
        <w:rPr>
          <w:rFonts w:ascii="Times New Roman" w:eastAsia="Times New Roman" w:hAnsi="Times New Roman" w:cs="Times New Roman"/>
          <w:sz w:val="24"/>
          <w:lang w:eastAsia="es-ES"/>
        </w:rPr>
        <w:t xml:space="preserve"> las actividades con una subvención de la UE cero, durante todo el período de movilidad, y deberá completar y presentar el Informe Intermedio y el Informe Final.</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pacing w:after="0" w:line="240" w:lineRule="auto"/>
        <w:ind w:left="567" w:hanging="567"/>
        <w:jc w:val="both"/>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noProof/>
          <w:sz w:val="24"/>
          <w:szCs w:val="20"/>
          <w:lang w:eastAsia="x-none"/>
        </w:rPr>
        <w:t>I.10.2</w:t>
      </w:r>
      <w:r w:rsidRPr="00F41EFC">
        <w:rPr>
          <w:rFonts w:ascii="Times New Roman" w:eastAsia="Times New Roman" w:hAnsi="Times New Roman" w:cs="Times New Roman"/>
          <w:b/>
          <w:noProof/>
          <w:sz w:val="24"/>
          <w:szCs w:val="20"/>
          <w:lang w:eastAsia="x-none"/>
        </w:rPr>
        <w:tab/>
      </w:r>
      <w:r w:rsidRPr="00F41EFC">
        <w:rPr>
          <w:rFonts w:ascii="Times New Roman" w:eastAsia="Times New Roman" w:hAnsi="Times New Roman" w:cs="Times New Roman"/>
          <w:b/>
          <w:sz w:val="24"/>
          <w:szCs w:val="20"/>
          <w:lang w:eastAsia="x-none"/>
        </w:rPr>
        <w:t>Plataforma de Difusión</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No procede.</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ind w:left="357" w:hanging="357"/>
        <w:rPr>
          <w:rFonts w:ascii="Times New Roman" w:eastAsia="Times New Roman" w:hAnsi="Times New Roman" w:cs="Times New Roman"/>
          <w:b/>
          <w:sz w:val="24"/>
          <w:szCs w:val="20"/>
          <w:lang w:eastAsia="x-none"/>
        </w:rPr>
      </w:pPr>
      <w:r w:rsidRPr="00F41EFC">
        <w:rPr>
          <w:rFonts w:ascii="Times New Roman" w:eastAsia="Times New Roman" w:hAnsi="Times New Roman" w:cs="Times New Roman"/>
          <w:b/>
          <w:sz w:val="24"/>
          <w:szCs w:val="20"/>
          <w:lang w:eastAsia="x-none"/>
        </w:rPr>
        <w:t>ARTÍCULO I.11  –</w:t>
      </w:r>
      <w:r w:rsidRPr="00F41EFC">
        <w:rPr>
          <w:rFonts w:ascii="Times New Roman" w:eastAsia="Times New Roman" w:hAnsi="Times New Roman" w:cs="Times New Roman"/>
          <w:b/>
          <w:caps/>
          <w:sz w:val="24"/>
          <w:szCs w:val="20"/>
          <w:lang w:eastAsia="x-none"/>
        </w:rPr>
        <w:t xml:space="preserve"> </w:t>
      </w:r>
      <w:r w:rsidRPr="00F41EFC">
        <w:rPr>
          <w:rFonts w:ascii="Times New Roman" w:eastAsia="Times New Roman" w:hAnsi="Times New Roman" w:cs="Times New Roman"/>
          <w:b/>
          <w:sz w:val="24"/>
          <w:szCs w:val="20"/>
          <w:lang w:eastAsia="x-none"/>
        </w:rPr>
        <w:t xml:space="preserve">DISPOSICIONES ADICIONALES SOBRE SUBCONTRATACIÓN </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No obstante otras disposiciones, las disposiciones de las letras c) y d) del Artículo II.10.2 no serán de aplicación.] </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u w:val="single"/>
          <w:shd w:val="clear" w:color="000000" w:fill="00FFFF"/>
          <w:lang w:eastAsia="es-ES"/>
        </w:rPr>
      </w:pPr>
    </w:p>
    <w:p w:rsidR="00F41EFC" w:rsidRPr="00F41EFC" w:rsidRDefault="00F41EFC" w:rsidP="00F41EFC">
      <w:pPr>
        <w:spacing w:after="0" w:line="240" w:lineRule="auto"/>
        <w:jc w:val="both"/>
        <w:rPr>
          <w:rFonts w:ascii="Times New Roman" w:eastAsia="Times New Roman" w:hAnsi="Times New Roman" w:cs="Times New Roman"/>
          <w:b/>
          <w:bCs/>
          <w:iCs/>
          <w:snapToGrid w:val="0"/>
          <w:sz w:val="24"/>
          <w:szCs w:val="24"/>
          <w:lang w:eastAsia="es-ES"/>
        </w:rPr>
      </w:pPr>
      <w:r w:rsidRPr="00F41EFC">
        <w:rPr>
          <w:rFonts w:ascii="Times New Roman" w:eastAsia="Times New Roman" w:hAnsi="Times New Roman" w:cs="Times New Roman"/>
          <w:b/>
          <w:sz w:val="24"/>
          <w:lang w:eastAsia="es-ES"/>
        </w:rPr>
        <w:t>ARTÍCULO I.12  – DISPOSICIONES DE LAS CONDICIONES GENERALES NO APLICABLES</w:t>
      </w: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r w:rsidRPr="00F41EFC">
        <w:rPr>
          <w:rFonts w:ascii="Times New Roman" w:eastAsia="Times New Roman" w:hAnsi="Times New Roman" w:cs="Times New Roman"/>
          <w:sz w:val="24"/>
          <w:lang w:eastAsia="es-ES"/>
        </w:rPr>
        <w:t xml:space="preserve">No se aplicarán las disposiciones siguientes de la Parte II - Condiciones Generales del presente Convenio: Artículos </w:t>
      </w:r>
      <w:r w:rsidR="00E164D7">
        <w:rPr>
          <w:rFonts w:ascii="Times New Roman" w:eastAsia="Times New Roman" w:hAnsi="Times New Roman" w:cs="Times New Roman"/>
          <w:sz w:val="24"/>
          <w:lang w:eastAsia="es-ES"/>
        </w:rPr>
        <w:t>II.16.2.1, II.16.2.3, II.16.2.4</w:t>
      </w:r>
      <w:r w:rsidR="005423BB">
        <w:rPr>
          <w:rFonts w:ascii="Times New Roman" w:eastAsia="Times New Roman" w:hAnsi="Times New Roman" w:cs="Times New Roman"/>
          <w:sz w:val="24"/>
          <w:lang w:eastAsia="es-ES"/>
        </w:rPr>
        <w:t>, II.16.4.1 y II.16.4.3</w:t>
      </w:r>
      <w:bookmarkStart w:id="0" w:name="_GoBack"/>
      <w:bookmarkEnd w:id="0"/>
      <w:r w:rsidRPr="00F41EFC">
        <w:rPr>
          <w:rFonts w:ascii="Times New Roman" w:eastAsia="Times New Roman" w:hAnsi="Times New Roman" w:cs="Times New Roman"/>
          <w:sz w:val="24"/>
          <w:lang w:eastAsia="es-ES"/>
        </w:rPr>
        <w:t>.</w:t>
      </w:r>
    </w:p>
    <w:p w:rsidR="00F41EFC" w:rsidRPr="00F41EFC" w:rsidRDefault="00F41EFC" w:rsidP="00F41EFC">
      <w:pPr>
        <w:suppressAutoHyphens/>
        <w:jc w:val="both"/>
        <w:rPr>
          <w:rFonts w:ascii="Times New Roman" w:eastAsia="Times New Roman" w:hAnsi="Times New Roman" w:cs="Times New Roman"/>
          <w:b/>
          <w:sz w:val="24"/>
          <w:szCs w:val="24"/>
          <w:lang w:eastAsia="es-ES"/>
        </w:rPr>
      </w:pPr>
      <w:r w:rsidRPr="00F41EFC">
        <w:rPr>
          <w:rFonts w:ascii="Times New Roman" w:eastAsia="Times New Roman" w:hAnsi="Times New Roman" w:cs="Times New Roman"/>
          <w:b/>
          <w:sz w:val="24"/>
          <w:lang w:eastAsia="es-ES"/>
        </w:rPr>
        <w:t xml:space="preserve"> </w:t>
      </w: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ARTÍCULO I.13 - APOYO A LOS PARTICIPANTES</w:t>
      </w: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tabs>
          <w:tab w:val="left" w:pos="0"/>
        </w:tabs>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lastRenderedPageBreak/>
        <w:t>Cuando la ejecución del Proyecto requiere que se preste apoyo a los participantes, el beneficiario deberá prestar dicho apoyo de acuerdo con las condiciones especificadas en los Anexos I y IV, que deberán incluir como mínimo:</w:t>
      </w:r>
    </w:p>
    <w:p w:rsidR="00F41EFC" w:rsidRPr="00F41EFC" w:rsidRDefault="00F41EFC" w:rsidP="00F41EFC">
      <w:pPr>
        <w:suppressAutoHyphens/>
        <w:adjustRightInd w:val="0"/>
        <w:spacing w:after="0" w:line="240" w:lineRule="auto"/>
        <w:ind w:left="851" w:hanging="851"/>
        <w:jc w:val="both"/>
        <w:rPr>
          <w:rFonts w:ascii="Times New Roman" w:eastAsia="Times New Roman" w:hAnsi="Times New Roman" w:cs="Times New Roman"/>
          <w:sz w:val="24"/>
          <w:lang w:eastAsia="es-ES"/>
        </w:rPr>
      </w:pP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el importe máximo de apoyo financiero, que no será superior a 60.000 EUR por cada participante;</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los criterios para determinar el importe exacto del apoyo; </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las actividades para las que el participante podrá recibir apoyo, sobre la base de una lista fija; </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la definición de las personas o categorías de personas que pueden recibir apoyo;</w:t>
      </w:r>
    </w:p>
    <w:p w:rsidR="00F41EFC" w:rsidRPr="00F41EFC" w:rsidRDefault="00F41EFC" w:rsidP="00F41EFC">
      <w:pPr>
        <w:numPr>
          <w:ilvl w:val="0"/>
          <w:numId w:val="2"/>
        </w:numPr>
        <w:suppressAutoHyphens/>
        <w:adjustRightInd w:val="0"/>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los criterios para conceder el apoyo.</w:t>
      </w:r>
    </w:p>
    <w:p w:rsidR="00F41EFC" w:rsidRPr="00F41EFC" w:rsidRDefault="00F41EFC" w:rsidP="00F41EFC">
      <w:pPr>
        <w:adjustRightInd w:val="0"/>
        <w:spacing w:after="0" w:line="240" w:lineRule="auto"/>
        <w:ind w:left="709"/>
        <w:jc w:val="both"/>
        <w:rPr>
          <w:rFonts w:ascii="Times New Roman" w:eastAsia="Times New Roman" w:hAnsi="Times New Roman" w:cs="Times New Roman"/>
          <w:sz w:val="24"/>
          <w:lang w:eastAsia="es-ES"/>
        </w:rPr>
      </w:pPr>
    </w:p>
    <w:p w:rsidR="00F41EFC" w:rsidRPr="00F41EFC"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De acuerdo con los documentos incluidos en el Anexo IV, el beneficiario deberá</w:t>
      </w:r>
    </w:p>
    <w:p w:rsidR="00F41EFC" w:rsidRPr="00F41EFC" w:rsidRDefault="00F41EFC" w:rsidP="00F41EFC">
      <w:pPr>
        <w:numPr>
          <w:ilvl w:val="0"/>
          <w:numId w:val="4"/>
        </w:num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Bien transferir la totalidad del apoyo financiero para  las categorías presupuestarias viajes, apoyo individual, apoyo lingüístico a los participantes de las actividades de movilidad, aplicando las tarifas de contribuciones por unidad tal como se define en el Anexo III;</w:t>
      </w:r>
    </w:p>
    <w:p w:rsidR="00F41EFC" w:rsidRPr="00F41EFC" w:rsidRDefault="00F41EFC" w:rsidP="00F41EFC">
      <w:pPr>
        <w:numPr>
          <w:ilvl w:val="0"/>
          <w:numId w:val="4"/>
        </w:num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O proporcionar el apoyo para las categorías presupuestarias viajes, apoyo individual, apoyo lingüístico a participantes de actividades de movilidad en forma de contribución en especie o, si está </w:t>
      </w:r>
      <w:proofErr w:type="spellStart"/>
      <w:r w:rsidRPr="00F41EFC">
        <w:rPr>
          <w:rFonts w:ascii="Times New Roman" w:eastAsia="Times New Roman" w:hAnsi="Times New Roman" w:cs="Times New Roman"/>
          <w:sz w:val="24"/>
          <w:lang w:eastAsia="es-ES"/>
        </w:rPr>
        <w:t>prefinanciado</w:t>
      </w:r>
      <w:proofErr w:type="spellEnd"/>
      <w:r w:rsidRPr="00F41EFC">
        <w:rPr>
          <w:rFonts w:ascii="Times New Roman" w:eastAsia="Times New Roman" w:hAnsi="Times New Roman" w:cs="Times New Roman"/>
          <w:sz w:val="24"/>
          <w:lang w:eastAsia="es-ES"/>
        </w:rPr>
        <w:t xml:space="preserve"> por el participante, en forma de un reembolso de dichos costes de acuerdo con el reglamento interno de la institución. En tal caso, el beneficiario se asegurará de que la prestación de apoyo para viajes, mantenimiento y lingüístico cumple los niveles necesarios de calidad y seguridad.</w:t>
      </w:r>
    </w:p>
    <w:p w:rsidR="00F41EFC" w:rsidRPr="00E164D7" w:rsidRDefault="00F41EFC" w:rsidP="00F41EFC">
      <w:pPr>
        <w:suppressAutoHyphens/>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Los beneficiarios podrán combinar las dos opciones indicadas en el párrafo anterior siempre que aseguren un trato justo e igual a todos los participantes. En tal caso, las condiciones aplicables a cada opción se aplicarán para las categorías presupuestarias a las que se aplica la opción correspondiente. </w:t>
      </w:r>
    </w:p>
    <w:p w:rsidR="00F41EFC" w:rsidRPr="00F41EFC" w:rsidRDefault="00F41EFC" w:rsidP="00F41EFC">
      <w:pPr>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 xml:space="preserve">ARTÍCULO I.14–CONSENTIMIENTO PARENTAL/DEL TUTOR </w:t>
      </w:r>
    </w:p>
    <w:p w:rsidR="00F41EFC" w:rsidRPr="00F41EFC" w:rsidRDefault="00F41EFC" w:rsidP="00F41EFC">
      <w:pPr>
        <w:spacing w:after="0" w:line="240" w:lineRule="auto"/>
        <w:jc w:val="both"/>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El beneficiario deberá obtener el consentimiento Parental/del Tutor para los participantes menores de edad antes de la participación de estos en cu</w:t>
      </w:r>
      <w:r w:rsidR="005423BB">
        <w:rPr>
          <w:rFonts w:ascii="Times New Roman" w:eastAsia="Times New Roman" w:hAnsi="Times New Roman" w:cs="Times New Roman"/>
          <w:sz w:val="24"/>
          <w:lang w:eastAsia="es-ES"/>
        </w:rPr>
        <w:t>alquier actividad de movilidad.</w:t>
      </w:r>
      <w:r w:rsidRPr="00F41EFC">
        <w:rPr>
          <w:rFonts w:ascii="Times New Roman" w:eastAsia="Times New Roman" w:hAnsi="Times New Roman" w:cs="Times New Roman"/>
          <w:sz w:val="24"/>
          <w:lang w:eastAsia="es-ES"/>
        </w:rPr>
        <w:t xml:space="preserve"> </w:t>
      </w:r>
    </w:p>
    <w:p w:rsidR="00F41EFC" w:rsidRPr="00F41EFC" w:rsidRDefault="00F41EFC" w:rsidP="00F41EFC">
      <w:pPr>
        <w:tabs>
          <w:tab w:val="left" w:pos="851"/>
        </w:tabs>
        <w:suppressAutoHyphens/>
        <w:spacing w:after="0" w:line="240" w:lineRule="auto"/>
        <w:jc w:val="both"/>
        <w:rPr>
          <w:rFonts w:ascii="Times New Roman" w:eastAsia="Times New Roman" w:hAnsi="Times New Roman" w:cs="Times New Roman"/>
          <w:b/>
          <w:sz w:val="24"/>
          <w:lang w:eastAsia="es-ES"/>
        </w:rPr>
      </w:pPr>
    </w:p>
    <w:p w:rsidR="00F41EFC" w:rsidRPr="00F41EFC" w:rsidRDefault="00F41EFC" w:rsidP="00F41EFC">
      <w:pPr>
        <w:tabs>
          <w:tab w:val="left" w:pos="851"/>
        </w:tabs>
        <w:suppressAutoHyphens/>
        <w:spacing w:after="0" w:line="240" w:lineRule="auto"/>
        <w:jc w:val="both"/>
        <w:rPr>
          <w:rFonts w:ascii="Times New Roman" w:eastAsia="Times New Roman" w:hAnsi="Times New Roman" w:cs="Times New Roman"/>
          <w:b/>
          <w:sz w:val="24"/>
          <w:lang w:eastAsia="es-ES"/>
        </w:rPr>
      </w:pPr>
      <w:r w:rsidRPr="00F41EFC">
        <w:rPr>
          <w:rFonts w:ascii="Times New Roman" w:eastAsia="Times New Roman" w:hAnsi="Times New Roman" w:cs="Times New Roman"/>
          <w:b/>
          <w:sz w:val="24"/>
          <w:lang w:eastAsia="es-ES"/>
        </w:rPr>
        <w:t>ARTÍCULO I.15 – DISPOSICIÓN ADICIONAL SOBRE SEGUIMIENTO Y EVALUACIÓN</w:t>
      </w:r>
    </w:p>
    <w:p w:rsidR="00F41EFC" w:rsidRPr="00F41EFC" w:rsidRDefault="00F41EFC" w:rsidP="00F41EFC">
      <w:pPr>
        <w:suppressAutoHyphens/>
        <w:spacing w:after="0" w:line="240" w:lineRule="auto"/>
        <w:jc w:val="both"/>
        <w:rPr>
          <w:rFonts w:ascii="Times New Roman" w:eastAsia="Times New Roman" w:hAnsi="Times New Roman" w:cs="Times New Roman"/>
          <w:b/>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Para titulares de una Carta de Movilidad de FP</w:t>
      </w:r>
      <w:r w:rsidR="005423BB">
        <w:rPr>
          <w:rFonts w:ascii="Times New Roman" w:eastAsia="Times New Roman" w:hAnsi="Times New Roman" w:cs="Times New Roman"/>
          <w:sz w:val="24"/>
          <w:lang w:eastAsia="es-ES"/>
        </w:rPr>
        <w:t xml:space="preserve"> </w:t>
      </w:r>
      <w:bookmarkStart w:id="1" w:name="OLE_LINK5"/>
      <w:bookmarkStart w:id="2" w:name="OLE_LINK6"/>
      <w:bookmarkStart w:id="3" w:name="OLE_LINK7"/>
      <w:r w:rsidR="005423BB">
        <w:rPr>
          <w:rFonts w:ascii="Times New Roman" w:eastAsia="Times New Roman" w:hAnsi="Times New Roman" w:cs="Times New Roman"/>
          <w:sz w:val="24"/>
          <w:lang w:eastAsia="es-ES"/>
        </w:rPr>
        <w:t>o Certificado de Calidad Leonardo prorrogado</w:t>
      </w:r>
      <w:bookmarkEnd w:id="1"/>
      <w:bookmarkEnd w:id="2"/>
      <w:bookmarkEnd w:id="3"/>
      <w:r w:rsidR="005423BB">
        <w:rPr>
          <w:rFonts w:ascii="Times New Roman" w:eastAsia="Times New Roman" w:hAnsi="Times New Roman" w:cs="Times New Roman"/>
          <w:sz w:val="24"/>
          <w:lang w:eastAsia="es-ES"/>
        </w:rPr>
        <w:t>:</w:t>
      </w: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lastRenderedPageBreak/>
        <w:t xml:space="preserve">La AN hará el seguimiento de la </w:t>
      </w:r>
      <w:r w:rsidR="005423BB">
        <w:rPr>
          <w:rFonts w:ascii="Times New Roman" w:eastAsia="Times New Roman" w:hAnsi="Times New Roman" w:cs="Times New Roman"/>
          <w:sz w:val="24"/>
          <w:lang w:eastAsia="es-ES"/>
        </w:rPr>
        <w:t xml:space="preserve">correcta ejecución de la Carta </w:t>
      </w:r>
      <w:r w:rsidRPr="00F41EFC">
        <w:rPr>
          <w:rFonts w:ascii="Times New Roman" w:eastAsia="Times New Roman" w:hAnsi="Times New Roman" w:cs="Times New Roman"/>
          <w:sz w:val="24"/>
          <w:lang w:eastAsia="es-ES"/>
        </w:rPr>
        <w:t>FP</w:t>
      </w:r>
      <w:r w:rsidR="005423BB">
        <w:rPr>
          <w:rFonts w:ascii="Times New Roman" w:eastAsia="Times New Roman" w:hAnsi="Times New Roman" w:cs="Times New Roman"/>
          <w:sz w:val="24"/>
          <w:lang w:eastAsia="es-ES"/>
        </w:rPr>
        <w:t>, o</w:t>
      </w:r>
      <w:r w:rsidR="005423BB">
        <w:rPr>
          <w:rFonts w:ascii="Times New Roman" w:eastAsia="Times New Roman" w:hAnsi="Times New Roman" w:cs="Times New Roman"/>
          <w:sz w:val="24"/>
          <w:lang w:eastAsia="es-ES"/>
        </w:rPr>
        <w:t xml:space="preserve"> Certificado de Calidad Leonardo prorrogado</w:t>
      </w:r>
      <w:r w:rsidR="005423BB">
        <w:rPr>
          <w:rFonts w:ascii="Times New Roman" w:eastAsia="Times New Roman" w:hAnsi="Times New Roman" w:cs="Times New Roman"/>
          <w:sz w:val="24"/>
          <w:lang w:eastAsia="es-ES"/>
        </w:rPr>
        <w:t>,</w:t>
      </w:r>
      <w:r w:rsidRPr="00F41EFC">
        <w:rPr>
          <w:rFonts w:ascii="Times New Roman" w:eastAsia="Times New Roman" w:hAnsi="Times New Roman" w:cs="Times New Roman"/>
          <w:sz w:val="24"/>
          <w:lang w:eastAsia="es-ES"/>
        </w:rPr>
        <w:t xml:space="preserve"> por parte del beneficiario.</w:t>
      </w: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Si el seguimiento pone de manifiesto debilidades, el beneficiario deberá establecer y aplicar un plan de acción en el plazo especificado por la AN. En ausencia de acciones correctivas adecuadas y oportunas por parte del beneficiario, la AN podrá retirar la acreditación de acuerd</w:t>
      </w:r>
      <w:r w:rsidR="005423BB">
        <w:rPr>
          <w:rFonts w:ascii="Times New Roman" w:eastAsia="Times New Roman" w:hAnsi="Times New Roman" w:cs="Times New Roman"/>
          <w:sz w:val="24"/>
          <w:lang w:eastAsia="es-ES"/>
        </w:rPr>
        <w:t>o con lo dispuesto en la Carta.</w:t>
      </w:r>
    </w:p>
    <w:p w:rsidR="00F41EFC" w:rsidRPr="00F41EFC" w:rsidRDefault="00F41EFC" w:rsidP="00F41EFC">
      <w:pPr>
        <w:suppressAutoHyphens/>
        <w:spacing w:after="0" w:line="240" w:lineRule="auto"/>
        <w:jc w:val="both"/>
        <w:rPr>
          <w:rFonts w:ascii="Times New Roman" w:eastAsia="Times New Roman" w:hAnsi="Times New Roman" w:cs="Times New Roman"/>
          <w:i/>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4"/>
          <w:lang w:eastAsia="es-ES"/>
        </w:rPr>
      </w:pPr>
    </w:p>
    <w:p w:rsidR="00F41EFC" w:rsidRPr="00F41EFC" w:rsidRDefault="00F41EFC" w:rsidP="00F41EFC">
      <w:pPr>
        <w:suppressAutoHyphens/>
        <w:spacing w:after="0" w:line="240" w:lineRule="auto"/>
        <w:jc w:val="both"/>
        <w:rPr>
          <w:rFonts w:ascii="Times New Roman" w:eastAsia="Times New Roman" w:hAnsi="Times New Roman" w:cs="Times New Roman"/>
          <w:sz w:val="24"/>
          <w:szCs w:val="20"/>
          <w:lang w:eastAsia="es-ES"/>
        </w:rPr>
      </w:pPr>
      <w:r w:rsidRPr="00F41EFC">
        <w:rPr>
          <w:rFonts w:ascii="Times New Roman" w:eastAsia="Times New Roman" w:hAnsi="Times New Roman" w:cs="Times New Roman"/>
          <w:sz w:val="24"/>
          <w:lang w:eastAsia="es-ES"/>
        </w:rPr>
        <w:t>FIRMAS</w:t>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ab/>
      </w:r>
      <w:r w:rsidRPr="00F41EFC">
        <w:rPr>
          <w:rFonts w:ascii="Calibri" w:eastAsia="Times New Roman" w:hAnsi="Calibri" w:cs="Times New Roman"/>
          <w:lang w:eastAsia="es-ES"/>
        </w:rPr>
        <w:br/>
      </w:r>
      <w:r w:rsidRPr="00F41EFC">
        <w:rPr>
          <w:rFonts w:ascii="Times New Roman" w:eastAsia="Times New Roman" w:hAnsi="Times New Roman" w:cs="Times New Roman"/>
          <w:sz w:val="24"/>
          <w:lang w:eastAsia="es-ES"/>
        </w:rPr>
        <w:t>Por el beneficiario</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 xml:space="preserve">                         Por la AN</w:t>
      </w:r>
      <w:r w:rsidRPr="00F41EFC">
        <w:rPr>
          <w:rFonts w:ascii="Calibri" w:eastAsia="Times New Roman" w:hAnsi="Calibri" w:cs="Times New Roman"/>
          <w:lang w:eastAsia="es-ES"/>
        </w:rPr>
        <w:br/>
      </w:r>
      <w:bookmarkStart w:id="4" w:name="OLE_LINK1"/>
      <w:bookmarkStart w:id="5" w:name="OLE_LINK2"/>
      <w:bookmarkStart w:id="6" w:name="OLE_LINK3"/>
      <w:bookmarkStart w:id="7" w:name="OLE_LINK4"/>
      <w:r w:rsidRPr="00F41EFC">
        <w:rPr>
          <w:rFonts w:ascii="Times New Roman" w:eastAsia="Times New Roman" w:hAnsi="Times New Roman" w:cs="Times New Roman"/>
          <w:sz w:val="24"/>
          <w:highlight w:val="lightGray"/>
          <w:lang w:eastAsia="es-ES"/>
        </w:rPr>
        <w:t>[/nombre/apellidos]</w:t>
      </w:r>
      <w:bookmarkEnd w:id="4"/>
      <w:bookmarkEnd w:id="5"/>
      <w:bookmarkEnd w:id="6"/>
      <w:bookmarkEnd w:id="7"/>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 xml:space="preserve">                         </w:t>
      </w:r>
      <w:r w:rsidR="00E164D7" w:rsidRPr="00F41EFC">
        <w:rPr>
          <w:rFonts w:ascii="Times New Roman" w:eastAsia="Times New Roman" w:hAnsi="Times New Roman" w:cs="Times New Roman"/>
          <w:sz w:val="24"/>
          <w:highlight w:val="lightGray"/>
          <w:lang w:eastAsia="es-ES"/>
        </w:rPr>
        <w:t>[/nombre/apellidos]</w:t>
      </w:r>
    </w:p>
    <w:p w:rsidR="00F41EFC" w:rsidRPr="00F41EFC" w:rsidRDefault="00E164D7" w:rsidP="00F41EFC">
      <w:pPr>
        <w:suppressAutoHyphens/>
        <w:spacing w:after="240" w:line="240" w:lineRule="auto"/>
        <w:rPr>
          <w:rFonts w:ascii="Times New Roman" w:eastAsia="Times New Roman" w:hAnsi="Times New Roman" w:cs="Times New Roman"/>
          <w:sz w:val="24"/>
          <w:szCs w:val="20"/>
          <w:lang w:eastAsia="es-ES"/>
        </w:rPr>
      </w:pPr>
      <w:r>
        <w:rPr>
          <w:rFonts w:ascii="Times New Roman" w:eastAsia="Times New Roman" w:hAnsi="Times New Roman" w:cs="Times New Roman"/>
          <w:sz w:val="24"/>
          <w:lang w:eastAsia="es-ES"/>
        </w:rPr>
        <w:t>[</w:t>
      </w:r>
      <w:proofErr w:type="gramStart"/>
      <w:r>
        <w:rPr>
          <w:rFonts w:ascii="Times New Roman" w:eastAsia="Times New Roman" w:hAnsi="Times New Roman" w:cs="Times New Roman"/>
          <w:sz w:val="24"/>
          <w:lang w:eastAsia="es-ES"/>
        </w:rPr>
        <w:t>cargo</w:t>
      </w:r>
      <w:proofErr w:type="gramEnd"/>
      <w:r>
        <w:rPr>
          <w:rFonts w:ascii="Times New Roman" w:eastAsia="Times New Roman" w:hAnsi="Times New Roman" w:cs="Times New Roman"/>
          <w:sz w:val="24"/>
          <w:lang w:eastAsia="es-ES"/>
        </w:rPr>
        <w:t>]</w:t>
      </w:r>
      <w:r>
        <w:rPr>
          <w:rFonts w:ascii="Times New Roman" w:eastAsia="Times New Roman" w:hAnsi="Times New Roman" w:cs="Times New Roman"/>
          <w:sz w:val="24"/>
          <w:lang w:eastAsia="es-ES"/>
        </w:rPr>
        <w:tab/>
      </w:r>
      <w:r>
        <w:rPr>
          <w:rFonts w:ascii="Times New Roman" w:eastAsia="Times New Roman" w:hAnsi="Times New Roman" w:cs="Times New Roman"/>
          <w:sz w:val="24"/>
          <w:lang w:eastAsia="es-ES"/>
        </w:rPr>
        <w:tab/>
      </w:r>
      <w:r>
        <w:rPr>
          <w:rFonts w:ascii="Times New Roman" w:eastAsia="Times New Roman" w:hAnsi="Times New Roman" w:cs="Times New Roman"/>
          <w:sz w:val="24"/>
          <w:lang w:eastAsia="es-ES"/>
        </w:rPr>
        <w:tab/>
      </w:r>
      <w:r>
        <w:rPr>
          <w:rFonts w:ascii="Times New Roman" w:eastAsia="Times New Roman" w:hAnsi="Times New Roman" w:cs="Times New Roman"/>
          <w:sz w:val="24"/>
          <w:lang w:eastAsia="es-ES"/>
        </w:rPr>
        <w:tab/>
      </w:r>
      <w:r>
        <w:rPr>
          <w:rFonts w:ascii="Times New Roman" w:eastAsia="Times New Roman" w:hAnsi="Times New Roman" w:cs="Times New Roman"/>
          <w:sz w:val="24"/>
          <w:lang w:eastAsia="es-ES"/>
        </w:rPr>
        <w:tab/>
      </w:r>
      <w:r>
        <w:rPr>
          <w:rFonts w:ascii="Times New Roman" w:eastAsia="Times New Roman" w:hAnsi="Times New Roman" w:cs="Times New Roman"/>
          <w:sz w:val="24"/>
          <w:lang w:eastAsia="es-ES"/>
        </w:rPr>
        <w:tab/>
        <w:t>Director</w:t>
      </w:r>
      <w:r w:rsidR="00F41EFC" w:rsidRPr="00F41EFC">
        <w:rPr>
          <w:rFonts w:ascii="Times New Roman" w:eastAsia="Times New Roman" w:hAnsi="Times New Roman" w:cs="Times New Roman"/>
          <w:sz w:val="24"/>
          <w:lang w:eastAsia="es-ES"/>
        </w:rPr>
        <w:t xml:space="preserve"> del OAPEE</w:t>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r w:rsidRPr="00F41EFC">
        <w:rPr>
          <w:rFonts w:ascii="Times New Roman" w:eastAsia="Times New Roman" w:hAnsi="Times New Roman" w:cs="Times New Roman"/>
          <w:sz w:val="24"/>
          <w:lang w:eastAsia="es-ES"/>
        </w:rPr>
        <w:t xml:space="preserve">Firma:       </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t>Firma</w:t>
      </w:r>
      <w:r w:rsidRPr="00F41EFC">
        <w:rPr>
          <w:rFonts w:ascii="Calibri" w:eastAsia="Times New Roman" w:hAnsi="Calibri" w:cs="Times New Roman"/>
          <w:lang w:eastAsia="es-ES"/>
        </w:rPr>
        <w:br/>
      </w: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p>
    <w:p w:rsidR="00F41EFC" w:rsidRPr="00F41EFC" w:rsidRDefault="00F41EFC" w:rsidP="00F41EFC">
      <w:pPr>
        <w:suppressAutoHyphens/>
        <w:spacing w:after="240" w:line="240" w:lineRule="auto"/>
        <w:rPr>
          <w:rFonts w:ascii="Times New Roman" w:eastAsia="Times New Roman" w:hAnsi="Times New Roman" w:cs="Times New Roman"/>
          <w:sz w:val="24"/>
          <w:lang w:eastAsia="es-ES"/>
        </w:rPr>
      </w:pPr>
    </w:p>
    <w:p w:rsidR="00F41EFC" w:rsidRPr="00F41EFC" w:rsidRDefault="00F41EFC" w:rsidP="00F41EFC">
      <w:pPr>
        <w:suppressAutoHyphens/>
        <w:spacing w:after="240" w:line="240" w:lineRule="auto"/>
        <w:rPr>
          <w:rFonts w:ascii="Times New Roman" w:eastAsia="Times New Roman" w:hAnsi="Times New Roman" w:cs="Times New Roman"/>
          <w:sz w:val="24"/>
          <w:szCs w:val="20"/>
          <w:lang w:eastAsia="es-ES"/>
        </w:rPr>
      </w:pPr>
      <w:r w:rsidRPr="00F41EFC">
        <w:rPr>
          <w:rFonts w:ascii="Times New Roman" w:eastAsia="Times New Roman" w:hAnsi="Times New Roman" w:cs="Times New Roman"/>
          <w:sz w:val="24"/>
          <w:lang w:eastAsia="es-ES"/>
        </w:rPr>
        <w:t xml:space="preserve">En </w:t>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r w:rsidRPr="00F41EFC">
        <w:rPr>
          <w:rFonts w:ascii="Times New Roman" w:eastAsia="Times New Roman" w:hAnsi="Times New Roman" w:cs="Times New Roman"/>
          <w:sz w:val="24"/>
          <w:lang w:eastAsia="es-ES"/>
        </w:rPr>
        <w:tab/>
      </w:r>
      <w:proofErr w:type="spellStart"/>
      <w:r w:rsidRPr="00F41EFC">
        <w:rPr>
          <w:rFonts w:ascii="Times New Roman" w:eastAsia="Times New Roman" w:hAnsi="Times New Roman" w:cs="Times New Roman"/>
          <w:sz w:val="24"/>
          <w:lang w:eastAsia="es-ES"/>
        </w:rPr>
        <w:t>En</w:t>
      </w:r>
      <w:proofErr w:type="spellEnd"/>
      <w:r w:rsidRPr="00F41EFC">
        <w:rPr>
          <w:rFonts w:ascii="Times New Roman" w:eastAsia="Times New Roman" w:hAnsi="Times New Roman" w:cs="Times New Roman"/>
          <w:sz w:val="24"/>
          <w:lang w:eastAsia="es-ES"/>
        </w:rPr>
        <w:t xml:space="preserve"> Madrid,</w:t>
      </w:r>
    </w:p>
    <w:p w:rsidR="00065BB4" w:rsidRDefault="00065BB4"/>
    <w:sectPr w:rsidR="00065BB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C7" w:rsidRDefault="00AE11C7" w:rsidP="00F41EFC">
      <w:pPr>
        <w:spacing w:after="0" w:line="240" w:lineRule="auto"/>
      </w:pPr>
      <w:r>
        <w:separator/>
      </w:r>
    </w:p>
  </w:endnote>
  <w:endnote w:type="continuationSeparator" w:id="0">
    <w:p w:rsidR="00AE11C7" w:rsidRDefault="00AE11C7" w:rsidP="00F4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C7" w:rsidRDefault="00AE11C7" w:rsidP="00F41EFC">
      <w:pPr>
        <w:spacing w:after="0" w:line="240" w:lineRule="auto"/>
      </w:pPr>
      <w:r>
        <w:separator/>
      </w:r>
    </w:p>
  </w:footnote>
  <w:footnote w:type="continuationSeparator" w:id="0">
    <w:p w:rsidR="00AE11C7" w:rsidRDefault="00AE11C7" w:rsidP="00F41EFC">
      <w:pPr>
        <w:spacing w:after="0" w:line="240" w:lineRule="auto"/>
      </w:pPr>
      <w:r>
        <w:continuationSeparator/>
      </w:r>
    </w:p>
  </w:footnote>
  <w:footnote w:id="1">
    <w:p w:rsidR="00F41EFC" w:rsidRDefault="00F41EFC" w:rsidP="00F41EFC">
      <w:pPr>
        <w:pStyle w:val="Textonotapie"/>
      </w:pPr>
      <w:r>
        <w:rPr>
          <w:rStyle w:val="Voetnoottekens"/>
          <w:rFonts w:ascii="Times New Roman" w:hAnsi="Times New Roman"/>
        </w:rPr>
        <w:footnoteRef/>
      </w:r>
      <w:r>
        <w:t xml:space="preserve"> </w:t>
      </w:r>
      <w:r w:rsidRPr="00D00A01">
        <w:t xml:space="preserve">  Reglamento (UE) No 1288/2013 del Parlamento Europeo y del Consejo de 11 de diciembre de 2013 por el que se crea el programa «Erasmus+», de educación, formación, juventud y deporte de la Unión y por el que se derogan las Decisiones n o 1719/2006/CE, 1720/2006/CE y 1298/2008/CE.</w:t>
      </w:r>
    </w:p>
  </w:footnote>
  <w:footnote w:id="2">
    <w:p w:rsidR="00F41EFC" w:rsidRDefault="00F41EFC" w:rsidP="005423BB">
      <w:pPr>
        <w:pStyle w:val="Textonotapie"/>
        <w:jc w:val="both"/>
      </w:pPr>
      <w:r>
        <w:rPr>
          <w:rStyle w:val="Voetnoottekens"/>
          <w:rFonts w:ascii="Times New Roman" w:hAnsi="Times New Roman"/>
        </w:rPr>
        <w:footnoteRef/>
      </w:r>
      <w:r>
        <w:t xml:space="preserve"> </w:t>
      </w:r>
      <w:r>
        <w:rPr>
          <w:rFonts w:ascii="Times New Roman" w:hAnsi="Times New Roman"/>
        </w:rPr>
        <w:t>Licencia abierta: es una manera de que el propietario de un trabajo dé permiso a otros para que puedan utilizar el recurso. Cada recurso lleva asociada una licencia.  Existen diferentes licencias abiertas en función del grado de permiso concedido o de las limitaciones impuestas y el beneficiario es libre de elegir la licencia específica que aplicará a su trabajo.  Cada recurso producido debe llevar asociada una licencia abierta.  Una licencia abierta no es una cesión de los derechos de autor ni de los Derechos de Propiedad Intelectual (DPI).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08" w:type="dxa"/>
      <w:tblLook w:val="04A0" w:firstRow="1" w:lastRow="0" w:firstColumn="1" w:lastColumn="0" w:noHBand="0" w:noVBand="1"/>
    </w:tblPr>
    <w:tblGrid>
      <w:gridCol w:w="4258"/>
      <w:gridCol w:w="4361"/>
    </w:tblGrid>
    <w:tr w:rsidR="00F41EFC" w:rsidRPr="00F41EFC" w:rsidTr="007E31EB">
      <w:tc>
        <w:tcPr>
          <w:tcW w:w="2470" w:type="pct"/>
          <w:shd w:val="clear" w:color="auto" w:fill="auto"/>
          <w:vAlign w:val="center"/>
        </w:tcPr>
        <w:p w:rsidR="00F41EFC" w:rsidRPr="00F41EFC" w:rsidRDefault="00F41EFC" w:rsidP="00F41EFC">
          <w:pPr>
            <w:tabs>
              <w:tab w:val="center" w:pos="4513"/>
              <w:tab w:val="right" w:pos="9026"/>
            </w:tabs>
            <w:suppressAutoHyphens/>
            <w:contextualSpacing/>
            <w:rPr>
              <w:rFonts w:ascii="Calibri" w:eastAsia="Times New Roman" w:hAnsi="Calibri" w:cs="Times New Roman"/>
              <w:sz w:val="18"/>
              <w:szCs w:val="18"/>
              <w:lang w:eastAsia="es-ES"/>
            </w:rPr>
          </w:pPr>
          <w:r>
            <w:rPr>
              <w:rFonts w:ascii="Calibri" w:eastAsia="Times New Roman" w:hAnsi="Calibri" w:cs="Times New Roman"/>
              <w:noProof/>
              <w:sz w:val="18"/>
              <w:szCs w:val="18"/>
              <w:lang w:eastAsia="es-ES"/>
            </w:rPr>
            <w:drawing>
              <wp:inline distT="0" distB="0" distL="0" distR="0">
                <wp:extent cx="2020570" cy="586740"/>
                <wp:effectExtent l="0" t="0" r="0" b="381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586740"/>
                        </a:xfrm>
                        <a:prstGeom prst="rect">
                          <a:avLst/>
                        </a:prstGeom>
                        <a:noFill/>
                        <a:ln>
                          <a:noFill/>
                        </a:ln>
                      </pic:spPr>
                    </pic:pic>
                  </a:graphicData>
                </a:graphic>
              </wp:inline>
            </w:drawing>
          </w:r>
        </w:p>
      </w:tc>
      <w:tc>
        <w:tcPr>
          <w:tcW w:w="2530" w:type="pct"/>
          <w:shd w:val="clear" w:color="auto" w:fill="auto"/>
          <w:vAlign w:val="center"/>
        </w:tcPr>
        <w:p w:rsidR="00F41EFC" w:rsidRPr="00F41EFC" w:rsidRDefault="00F41EFC" w:rsidP="00F41EFC">
          <w:pPr>
            <w:tabs>
              <w:tab w:val="center" w:pos="4513"/>
              <w:tab w:val="right" w:pos="9026"/>
            </w:tabs>
            <w:suppressAutoHyphens/>
            <w:contextualSpacing/>
            <w:jc w:val="right"/>
            <w:rPr>
              <w:rFonts w:ascii="Calibri" w:eastAsia="Times New Roman" w:hAnsi="Calibri" w:cs="Times New Roman"/>
              <w:sz w:val="18"/>
              <w:szCs w:val="18"/>
              <w:lang w:eastAsia="es-ES"/>
            </w:rPr>
          </w:pPr>
        </w:p>
      </w:tc>
    </w:tr>
  </w:tbl>
  <w:p w:rsidR="00F41EFC" w:rsidRPr="00F41EFC" w:rsidRDefault="00F41EFC" w:rsidP="00F41EFC">
    <w:pPr>
      <w:tabs>
        <w:tab w:val="center" w:pos="4513"/>
        <w:tab w:val="right" w:pos="9026"/>
      </w:tabs>
      <w:suppressAutoHyphens/>
      <w:contextualSpacing/>
      <w:rPr>
        <w:rFonts w:ascii="Calibri" w:eastAsia="Times New Roman" w:hAnsi="Calibri" w:cs="Times New Roman"/>
        <w:sz w:val="18"/>
        <w:szCs w:val="18"/>
        <w:lang w:eastAsia="es-ES"/>
      </w:rPr>
    </w:pPr>
    <w:r w:rsidRPr="00F41EFC">
      <w:rPr>
        <w:rFonts w:ascii="Calibri" w:eastAsia="Times New Roman" w:hAnsi="Calibri" w:cs="Times New Roman"/>
        <w:sz w:val="18"/>
        <w:szCs w:val="18"/>
        <w:lang w:eastAsia="es-ES"/>
      </w:rPr>
      <w:t xml:space="preserve"> </w:t>
    </w:r>
  </w:p>
  <w:p w:rsidR="00F41EFC" w:rsidRPr="00F41EFC" w:rsidRDefault="00F41EFC" w:rsidP="00F41EFC">
    <w:pPr>
      <w:tabs>
        <w:tab w:val="center" w:pos="4513"/>
        <w:tab w:val="right" w:pos="9026"/>
      </w:tabs>
      <w:suppressAutoHyphens/>
      <w:contextualSpacing/>
      <w:jc w:val="right"/>
      <w:rPr>
        <w:rFonts w:ascii="Calibri" w:eastAsia="Times New Roman" w:hAnsi="Calibri" w:cs="Times New Roman"/>
        <w:sz w:val="18"/>
        <w:szCs w:val="18"/>
        <w:lang w:eastAsia="es-ES"/>
      </w:rPr>
    </w:pPr>
    <w:r w:rsidRPr="00F41EFC">
      <w:rPr>
        <w:rFonts w:ascii="Calibri" w:eastAsia="Times New Roman" w:hAnsi="Calibri" w:cs="Times New Roman"/>
        <w:sz w:val="18"/>
        <w:szCs w:val="18"/>
        <w:lang w:eastAsia="es-ES"/>
      </w:rPr>
      <w:t>Modelo de convenio de subvención (</w:t>
    </w:r>
    <w:r w:rsidRPr="00F41EFC">
      <w:rPr>
        <w:rFonts w:ascii="Calibri" w:eastAsia="Times New Roman" w:hAnsi="Calibri" w:cs="Times New Roman"/>
        <w:b/>
        <w:sz w:val="18"/>
        <w:szCs w:val="18"/>
        <w:lang w:eastAsia="es-ES"/>
      </w:rPr>
      <w:t>un único beneficiario</w:t>
    </w:r>
    <w:r w:rsidR="008D4B36">
      <w:rPr>
        <w:rFonts w:ascii="Calibri" w:eastAsia="Times New Roman" w:hAnsi="Calibri" w:cs="Times New Roman"/>
        <w:sz w:val="18"/>
        <w:szCs w:val="18"/>
        <w:lang w:eastAsia="es-ES"/>
      </w:rPr>
      <w:t xml:space="preserve">) </w:t>
    </w:r>
  </w:p>
  <w:p w:rsidR="00F41EFC" w:rsidRDefault="00F41E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9242AB8"/>
    <w:multiLevelType w:val="hybridMultilevel"/>
    <w:tmpl w:val="FE605C8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52183497"/>
    <w:multiLevelType w:val="hybridMultilevel"/>
    <w:tmpl w:val="808E608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69547F58"/>
    <w:multiLevelType w:val="hybridMultilevel"/>
    <w:tmpl w:val="567C34B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FC"/>
    <w:rsid w:val="00065BB4"/>
    <w:rsid w:val="002E76F7"/>
    <w:rsid w:val="00322D1B"/>
    <w:rsid w:val="005423BB"/>
    <w:rsid w:val="008826A5"/>
    <w:rsid w:val="008D4B36"/>
    <w:rsid w:val="00A2114F"/>
    <w:rsid w:val="00AE11C7"/>
    <w:rsid w:val="00B02336"/>
    <w:rsid w:val="00E164D7"/>
    <w:rsid w:val="00F4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oetnoottekens">
    <w:name w:val="Voetnoottekens"/>
    <w:rsid w:val="00F41EFC"/>
    <w:rPr>
      <w:vertAlign w:val="superscript"/>
      <w:lang w:val="es-ES" w:eastAsia="es-ES"/>
    </w:rPr>
  </w:style>
  <w:style w:type="character" w:styleId="Refdenotaalpie">
    <w:name w:val="footnote reference"/>
    <w:uiPriority w:val="99"/>
    <w:rsid w:val="00F41EFC"/>
    <w:rPr>
      <w:rFonts w:cs="Times New Roman"/>
      <w:vertAlign w:val="superscript"/>
      <w:lang w:val="es-ES" w:eastAsia="es-ES"/>
    </w:rPr>
  </w:style>
  <w:style w:type="paragraph" w:styleId="Textonotapie">
    <w:name w:val="footnote text"/>
    <w:basedOn w:val="Normal"/>
    <w:link w:val="TextonotapieCar"/>
    <w:uiPriority w:val="99"/>
    <w:rsid w:val="00F41EFC"/>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F41EFC"/>
    <w:rPr>
      <w:rFonts w:ascii="Calibri" w:eastAsia="Times New Roman" w:hAnsi="Calibri" w:cs="Times New Roman"/>
      <w:sz w:val="20"/>
      <w:szCs w:val="20"/>
      <w:lang w:eastAsia="es-ES"/>
    </w:rPr>
  </w:style>
  <w:style w:type="paragraph" w:styleId="Encabezado">
    <w:name w:val="header"/>
    <w:basedOn w:val="Normal"/>
    <w:link w:val="EncabezadoCar"/>
    <w:uiPriority w:val="99"/>
    <w:unhideWhenUsed/>
    <w:rsid w:val="00F41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EFC"/>
  </w:style>
  <w:style w:type="paragraph" w:styleId="Piedepgina">
    <w:name w:val="footer"/>
    <w:basedOn w:val="Normal"/>
    <w:link w:val="PiedepginaCar"/>
    <w:uiPriority w:val="99"/>
    <w:unhideWhenUsed/>
    <w:rsid w:val="00F41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EFC"/>
  </w:style>
  <w:style w:type="paragraph" w:styleId="Textodeglobo">
    <w:name w:val="Balloon Text"/>
    <w:basedOn w:val="Normal"/>
    <w:link w:val="TextodegloboCar"/>
    <w:uiPriority w:val="99"/>
    <w:semiHidden/>
    <w:unhideWhenUsed/>
    <w:rsid w:val="00F4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oetnoottekens">
    <w:name w:val="Voetnoottekens"/>
    <w:rsid w:val="00F41EFC"/>
    <w:rPr>
      <w:vertAlign w:val="superscript"/>
      <w:lang w:val="es-ES" w:eastAsia="es-ES"/>
    </w:rPr>
  </w:style>
  <w:style w:type="character" w:styleId="Refdenotaalpie">
    <w:name w:val="footnote reference"/>
    <w:uiPriority w:val="99"/>
    <w:rsid w:val="00F41EFC"/>
    <w:rPr>
      <w:rFonts w:cs="Times New Roman"/>
      <w:vertAlign w:val="superscript"/>
      <w:lang w:val="es-ES" w:eastAsia="es-ES"/>
    </w:rPr>
  </w:style>
  <w:style w:type="paragraph" w:styleId="Textonotapie">
    <w:name w:val="footnote text"/>
    <w:basedOn w:val="Normal"/>
    <w:link w:val="TextonotapieCar"/>
    <w:uiPriority w:val="99"/>
    <w:rsid w:val="00F41EFC"/>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F41EFC"/>
    <w:rPr>
      <w:rFonts w:ascii="Calibri" w:eastAsia="Times New Roman" w:hAnsi="Calibri" w:cs="Times New Roman"/>
      <w:sz w:val="20"/>
      <w:szCs w:val="20"/>
      <w:lang w:eastAsia="es-ES"/>
    </w:rPr>
  </w:style>
  <w:style w:type="paragraph" w:styleId="Encabezado">
    <w:name w:val="header"/>
    <w:basedOn w:val="Normal"/>
    <w:link w:val="EncabezadoCar"/>
    <w:uiPriority w:val="99"/>
    <w:unhideWhenUsed/>
    <w:rsid w:val="00F41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EFC"/>
  </w:style>
  <w:style w:type="paragraph" w:styleId="Piedepgina">
    <w:name w:val="footer"/>
    <w:basedOn w:val="Normal"/>
    <w:link w:val="PiedepginaCar"/>
    <w:uiPriority w:val="99"/>
    <w:unhideWhenUsed/>
    <w:rsid w:val="00F41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EFC"/>
  </w:style>
  <w:style w:type="paragraph" w:styleId="Textodeglobo">
    <w:name w:val="Balloon Text"/>
    <w:basedOn w:val="Normal"/>
    <w:link w:val="TextodegloboCar"/>
    <w:uiPriority w:val="99"/>
    <w:semiHidden/>
    <w:unhideWhenUsed/>
    <w:rsid w:val="00F4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pee.es/oapee/inicio/ErasmusPlus/con-2014-gestion/convocatoria-2014-ka1-es/seguimientoka1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Arroyas Ferrer,  Manuel Magín</dc:creator>
  <cp:lastModifiedBy>oapee</cp:lastModifiedBy>
  <cp:revision>7</cp:revision>
  <dcterms:created xsi:type="dcterms:W3CDTF">2014-09-10T11:54:00Z</dcterms:created>
  <dcterms:modified xsi:type="dcterms:W3CDTF">2015-05-24T20:38:00Z</dcterms:modified>
</cp:coreProperties>
</file>